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4C5E" w14:textId="77777777" w:rsidR="008F50D5" w:rsidRDefault="008F50D5" w:rsidP="008F50D5">
      <w:pPr>
        <w:spacing w:after="0" w:line="240" w:lineRule="auto"/>
        <w:jc w:val="right"/>
        <w:rPr>
          <w:rFonts w:eastAsia="Times New Roman"/>
          <w:b/>
          <w:bCs/>
          <w:lang w:val="en-US"/>
        </w:rPr>
      </w:pPr>
      <w:r w:rsidRPr="67415257">
        <w:rPr>
          <w:rFonts w:eastAsia="Times New Roman"/>
          <w:b/>
          <w:bCs/>
          <w:lang w:val="en-US"/>
        </w:rPr>
        <w:t>Electronic Procurement System</w:t>
      </w:r>
    </w:p>
    <w:p w14:paraId="502693A1" w14:textId="77777777" w:rsidR="008F50D5" w:rsidRDefault="008F50D5" w:rsidP="008F50D5">
      <w:pPr>
        <w:spacing w:after="0" w:line="240" w:lineRule="auto"/>
        <w:jc w:val="both"/>
        <w:rPr>
          <w:rFonts w:eastAsia="Times New Roman"/>
          <w:b/>
          <w:bCs/>
          <w:lang w:val="en-US"/>
        </w:rPr>
      </w:pPr>
    </w:p>
    <w:p w14:paraId="72FA6D63" w14:textId="77777777" w:rsidR="008F50D5" w:rsidRPr="00E01C9D" w:rsidRDefault="008F50D5" w:rsidP="008F50D5">
      <w:pPr>
        <w:spacing w:after="0" w:line="240" w:lineRule="auto"/>
        <w:jc w:val="both"/>
        <w:rPr>
          <w:rFonts w:eastAsia="Times New Roman"/>
          <w:lang w:val="en-US"/>
        </w:rPr>
      </w:pPr>
    </w:p>
    <w:p w14:paraId="0C43705F" w14:textId="77777777" w:rsidR="008F50D5" w:rsidRPr="00C062C2" w:rsidRDefault="008F50D5" w:rsidP="008F50D5">
      <w:pPr>
        <w:spacing w:after="0" w:line="240" w:lineRule="auto"/>
        <w:rPr>
          <w:rFonts w:eastAsia="Times New Roman"/>
          <w:b/>
          <w:bCs/>
          <w:i/>
          <w:iCs/>
          <w:lang w:val="en-US"/>
        </w:rPr>
      </w:pPr>
      <w:r>
        <w:rPr>
          <w:rFonts w:eastAsia="Times New Roman"/>
          <w:b/>
          <w:bCs/>
          <w:i/>
          <w:iCs/>
          <w:lang w:val="en-US"/>
        </w:rPr>
        <w:t>A</w:t>
      </w:r>
      <w:r w:rsidRPr="00C062C2">
        <w:rPr>
          <w:rFonts w:eastAsia="Times New Roman"/>
          <w:b/>
          <w:bCs/>
          <w:i/>
          <w:iCs/>
          <w:lang w:val="en-US"/>
        </w:rPr>
        <w:t>nswer</w:t>
      </w:r>
      <w:r>
        <w:rPr>
          <w:rFonts w:eastAsia="Times New Roman"/>
          <w:b/>
          <w:bCs/>
          <w:i/>
          <w:iCs/>
          <w:lang w:val="en-US"/>
        </w:rPr>
        <w:t>s</w:t>
      </w:r>
      <w:r w:rsidRPr="00C062C2">
        <w:rPr>
          <w:rFonts w:eastAsia="Times New Roman"/>
          <w:b/>
          <w:bCs/>
          <w:i/>
          <w:iCs/>
          <w:lang w:val="en-US"/>
        </w:rPr>
        <w:t xml:space="preserve"> to question</w:t>
      </w:r>
      <w:r>
        <w:rPr>
          <w:rFonts w:eastAsia="Times New Roman"/>
          <w:b/>
          <w:bCs/>
          <w:i/>
          <w:iCs/>
          <w:lang w:val="en-US"/>
        </w:rPr>
        <w:t>s</w:t>
      </w:r>
      <w:r w:rsidRPr="00C062C2">
        <w:rPr>
          <w:rFonts w:eastAsia="Times New Roman"/>
          <w:b/>
          <w:bCs/>
          <w:i/>
          <w:iCs/>
          <w:lang w:val="en-US"/>
        </w:rPr>
        <w:t xml:space="preserve"> from interested supplier</w:t>
      </w:r>
    </w:p>
    <w:p w14:paraId="123A944D" w14:textId="77777777" w:rsidR="008F50D5" w:rsidRPr="007A245A" w:rsidRDefault="008F50D5" w:rsidP="008F50D5">
      <w:pPr>
        <w:spacing w:after="0" w:line="240" w:lineRule="auto"/>
        <w:rPr>
          <w:rFonts w:eastAsia="Times New Roman"/>
          <w:b/>
          <w:bCs/>
          <w:i/>
          <w:iCs/>
          <w:lang w:val="en-GB"/>
        </w:rPr>
      </w:pPr>
      <w:r w:rsidRPr="00C062C2">
        <w:rPr>
          <w:rFonts w:eastAsia="Times New Roman"/>
          <w:b/>
          <w:bCs/>
          <w:i/>
          <w:iCs/>
          <w:lang w:val="en-US"/>
        </w:rPr>
        <w:t xml:space="preserve">in the </w:t>
      </w:r>
      <w:r>
        <w:rPr>
          <w:rFonts w:eastAsia="Times New Roman"/>
          <w:b/>
          <w:bCs/>
          <w:i/>
          <w:iCs/>
          <w:lang w:val="en-US"/>
        </w:rPr>
        <w:t>open competition</w:t>
      </w:r>
      <w:r w:rsidRPr="00766366">
        <w:rPr>
          <w:rFonts w:eastAsiaTheme="majorEastAsia" w:cstheme="majorBidi"/>
          <w:b/>
          <w:bCs/>
          <w:color w:val="2F5496" w:themeColor="accent1" w:themeShade="BF"/>
          <w:sz w:val="20"/>
          <w:szCs w:val="20"/>
          <w:bdr w:val="nil"/>
          <w:lang w:val="en-GB"/>
        </w:rPr>
        <w:t xml:space="preserve"> </w:t>
      </w:r>
      <w:r w:rsidRPr="007A245A">
        <w:rPr>
          <w:rFonts w:eastAsiaTheme="majorEastAsia" w:cstheme="majorBidi"/>
          <w:b/>
          <w:bCs/>
          <w:bdr w:val="nil"/>
          <w:lang w:val="en-GB"/>
        </w:rPr>
        <w:t>“</w:t>
      </w:r>
      <w:r w:rsidRPr="007A245A">
        <w:rPr>
          <w:rFonts w:eastAsia="Times New Roman"/>
          <w:b/>
          <w:bCs/>
          <w:i/>
          <w:iCs/>
          <w:lang w:val="en-GB"/>
        </w:rPr>
        <w:t xml:space="preserve">Procurement and Commercial Services Framework </w:t>
      </w:r>
    </w:p>
    <w:p w14:paraId="6C5812C1" w14:textId="77777777" w:rsidR="008F50D5" w:rsidRPr="00C062C2" w:rsidRDefault="008F50D5" w:rsidP="008F50D5">
      <w:pPr>
        <w:spacing w:after="0" w:line="240" w:lineRule="auto"/>
        <w:rPr>
          <w:rFonts w:eastAsia="Times New Roman"/>
          <w:b/>
          <w:bCs/>
          <w:i/>
          <w:iCs/>
          <w:lang w:val="en-US"/>
        </w:rPr>
      </w:pPr>
      <w:r w:rsidRPr="007A245A">
        <w:rPr>
          <w:rFonts w:eastAsia="Times New Roman"/>
          <w:b/>
          <w:bCs/>
          <w:i/>
          <w:iCs/>
          <w:lang w:val="en-GB"/>
        </w:rPr>
        <w:t>for the Rail Baltica Global Project</w:t>
      </w:r>
      <w:r w:rsidRPr="007A245A">
        <w:rPr>
          <w:rFonts w:eastAsia="Times New Roman"/>
          <w:b/>
          <w:bCs/>
          <w:i/>
          <w:iCs/>
          <w:lang w:val="en-US"/>
        </w:rPr>
        <w:t>”</w:t>
      </w:r>
      <w:r w:rsidRPr="00766366">
        <w:rPr>
          <w:rFonts w:eastAsia="Times New Roman"/>
          <w:b/>
          <w:bCs/>
          <w:i/>
          <w:iCs/>
          <w:lang w:val="en-US"/>
        </w:rPr>
        <w:t xml:space="preserve"> </w:t>
      </w:r>
      <w:r w:rsidRPr="00C062C2">
        <w:rPr>
          <w:rFonts w:eastAsia="Times New Roman"/>
          <w:b/>
          <w:bCs/>
          <w:i/>
          <w:iCs/>
          <w:lang w:val="en-US"/>
        </w:rPr>
        <w:t>identification number RBR 202</w:t>
      </w:r>
      <w:r>
        <w:rPr>
          <w:rFonts w:eastAsia="Times New Roman"/>
          <w:b/>
          <w:bCs/>
          <w:i/>
          <w:iCs/>
          <w:lang w:val="en-US"/>
        </w:rPr>
        <w:t>2</w:t>
      </w:r>
      <w:r w:rsidRPr="00C062C2">
        <w:rPr>
          <w:rFonts w:eastAsia="Times New Roman"/>
          <w:b/>
          <w:bCs/>
          <w:i/>
          <w:iCs/>
          <w:lang w:val="en-US"/>
        </w:rPr>
        <w:t>/</w:t>
      </w:r>
      <w:r>
        <w:rPr>
          <w:rFonts w:eastAsia="Times New Roman"/>
          <w:b/>
          <w:bCs/>
          <w:i/>
          <w:iCs/>
          <w:lang w:val="en-US"/>
        </w:rPr>
        <w:t>22</w:t>
      </w:r>
    </w:p>
    <w:p w14:paraId="09D46C94" w14:textId="77777777" w:rsidR="008F50D5" w:rsidRPr="00C062C2" w:rsidRDefault="008F50D5" w:rsidP="008F50D5">
      <w:pPr>
        <w:spacing w:after="0" w:line="240" w:lineRule="auto"/>
        <w:rPr>
          <w:rFonts w:eastAsia="Times New Roman"/>
          <w:b/>
          <w:bCs/>
          <w:i/>
          <w:iCs/>
          <w:lang w:val="en-US"/>
        </w:rPr>
      </w:pPr>
    </w:p>
    <w:p w14:paraId="355623FC" w14:textId="77777777" w:rsidR="008F50D5" w:rsidRPr="00C062C2" w:rsidRDefault="008F50D5" w:rsidP="008F50D5">
      <w:pPr>
        <w:spacing w:after="0"/>
        <w:jc w:val="both"/>
        <w:rPr>
          <w:rFonts w:eastAsia="Times New Roman"/>
          <w:lang w:val="en-US"/>
        </w:rPr>
      </w:pPr>
      <w:r w:rsidRPr="00C062C2">
        <w:rPr>
          <w:rFonts w:eastAsia="Times New Roman"/>
          <w:lang w:val="en-US"/>
        </w:rPr>
        <w:t>RB Rail AS presents following answer</w:t>
      </w:r>
      <w:r>
        <w:rPr>
          <w:rFonts w:eastAsia="Times New Roman"/>
          <w:lang w:val="en-US"/>
        </w:rPr>
        <w:t>s</w:t>
      </w:r>
      <w:r w:rsidRPr="00C062C2">
        <w:rPr>
          <w:rFonts w:eastAsia="Times New Roman"/>
          <w:lang w:val="en-US"/>
        </w:rPr>
        <w:t xml:space="preserve"> to question</w:t>
      </w:r>
      <w:r>
        <w:rPr>
          <w:rFonts w:eastAsia="Times New Roman"/>
          <w:lang w:val="en-US"/>
        </w:rPr>
        <w:t>s</w:t>
      </w:r>
      <w:r w:rsidRPr="00C062C2">
        <w:rPr>
          <w:rFonts w:eastAsia="Times New Roman"/>
          <w:lang w:val="en-US"/>
        </w:rPr>
        <w:t xml:space="preserve"> received from interested supplier until </w:t>
      </w:r>
      <w:r>
        <w:rPr>
          <w:rFonts w:eastAsia="Times New Roman"/>
          <w:lang w:val="en-US"/>
        </w:rPr>
        <w:t>20 January 2023</w:t>
      </w:r>
      <w:r w:rsidRPr="00C062C2">
        <w:rPr>
          <w:rFonts w:eastAsia="Times New Roman"/>
          <w:lang w:val="en-US"/>
        </w:rPr>
        <w:t>:</w:t>
      </w:r>
    </w:p>
    <w:tbl>
      <w:tblPr>
        <w:tblStyle w:val="TableGrid"/>
        <w:tblW w:w="0" w:type="auto"/>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A0" w:firstRow="1" w:lastRow="0" w:firstColumn="1" w:lastColumn="0" w:noHBand="0" w:noVBand="1"/>
      </w:tblPr>
      <w:tblGrid>
        <w:gridCol w:w="562"/>
        <w:gridCol w:w="3969"/>
        <w:gridCol w:w="4530"/>
      </w:tblGrid>
      <w:tr w:rsidR="008F50D5" w:rsidRPr="00C062C2" w14:paraId="3CB1D786" w14:textId="77777777" w:rsidTr="00E95B99">
        <w:tc>
          <w:tcPr>
            <w:tcW w:w="562" w:type="dxa"/>
            <w:shd w:val="clear" w:color="auto" w:fill="003787"/>
          </w:tcPr>
          <w:p w14:paraId="44AF598E" w14:textId="77777777" w:rsidR="008F50D5" w:rsidRPr="00751A9B" w:rsidRDefault="008F50D5" w:rsidP="00E95B99">
            <w:pPr>
              <w:spacing w:before="120" w:after="120"/>
              <w:jc w:val="center"/>
              <w:rPr>
                <w:rFonts w:eastAsia="Times New Roman"/>
                <w:b/>
                <w:bCs/>
                <w:lang w:val="en-US"/>
              </w:rPr>
            </w:pPr>
            <w:r w:rsidRPr="00751A9B">
              <w:rPr>
                <w:rFonts w:eastAsia="Times New Roman"/>
                <w:b/>
                <w:bCs/>
                <w:lang w:val="en-US"/>
              </w:rPr>
              <w:t>Nr.</w:t>
            </w:r>
          </w:p>
        </w:tc>
        <w:tc>
          <w:tcPr>
            <w:tcW w:w="3969" w:type="dxa"/>
            <w:shd w:val="clear" w:color="auto" w:fill="003787"/>
          </w:tcPr>
          <w:p w14:paraId="160B82B7" w14:textId="77777777" w:rsidR="008F50D5" w:rsidRPr="00C062C2" w:rsidRDefault="008F50D5" w:rsidP="00E95B99">
            <w:pPr>
              <w:spacing w:before="120" w:after="120"/>
              <w:jc w:val="center"/>
              <w:rPr>
                <w:rFonts w:eastAsia="Times New Roman"/>
                <w:lang w:val="en-US"/>
              </w:rPr>
            </w:pPr>
            <w:r w:rsidRPr="00C062C2">
              <w:rPr>
                <w:b/>
                <w:bCs/>
                <w:lang w:val="en-US"/>
              </w:rPr>
              <w:t>Question</w:t>
            </w:r>
            <w:r>
              <w:rPr>
                <w:b/>
                <w:bCs/>
                <w:lang w:val="en-US"/>
              </w:rPr>
              <w:t xml:space="preserve"> (English/Latvian)</w:t>
            </w:r>
          </w:p>
        </w:tc>
        <w:tc>
          <w:tcPr>
            <w:tcW w:w="4530" w:type="dxa"/>
            <w:shd w:val="clear" w:color="auto" w:fill="003787"/>
          </w:tcPr>
          <w:p w14:paraId="52A2700F" w14:textId="0899AF0C" w:rsidR="008F50D5" w:rsidRPr="009C4D4E" w:rsidRDefault="008F50D5" w:rsidP="00E95B99">
            <w:pPr>
              <w:spacing w:before="120" w:after="120"/>
              <w:jc w:val="center"/>
              <w:rPr>
                <w:rFonts w:eastAsia="Times New Roman"/>
                <w:lang w:val="en-GB"/>
              </w:rPr>
            </w:pPr>
            <w:r w:rsidRPr="009C4D4E">
              <w:rPr>
                <w:b/>
                <w:bCs/>
                <w:lang w:val="en-GB"/>
              </w:rPr>
              <w:t>Answer</w:t>
            </w:r>
            <w:r>
              <w:rPr>
                <w:b/>
                <w:bCs/>
                <w:lang w:val="en-GB"/>
              </w:rPr>
              <w:t xml:space="preserve"> (English/Latvian)</w:t>
            </w:r>
          </w:p>
        </w:tc>
      </w:tr>
      <w:tr w:rsidR="008F50D5" w:rsidRPr="00860AAF" w14:paraId="15F8F631" w14:textId="77777777" w:rsidTr="00E95B99">
        <w:tc>
          <w:tcPr>
            <w:tcW w:w="562" w:type="dxa"/>
          </w:tcPr>
          <w:p w14:paraId="0DA614FC" w14:textId="77777777" w:rsidR="008F50D5" w:rsidRPr="00860AAF" w:rsidRDefault="008F50D5" w:rsidP="00E95B99">
            <w:pPr>
              <w:spacing w:beforeLines="60" w:before="144" w:afterLines="60" w:after="144"/>
              <w:jc w:val="both"/>
              <w:rPr>
                <w:rFonts w:eastAsia="Times New Roman"/>
                <w:b/>
                <w:bCs/>
                <w:lang w:val="en-US"/>
              </w:rPr>
            </w:pPr>
            <w:r>
              <w:rPr>
                <w:rFonts w:eastAsia="Times New Roman"/>
                <w:b/>
                <w:bCs/>
                <w:lang w:val="en-US"/>
              </w:rPr>
              <w:t>1.</w:t>
            </w:r>
          </w:p>
        </w:tc>
        <w:tc>
          <w:tcPr>
            <w:tcW w:w="3969" w:type="dxa"/>
          </w:tcPr>
          <w:p w14:paraId="377FD134" w14:textId="77777777" w:rsidR="008F50D5" w:rsidRPr="00857701" w:rsidRDefault="008F50D5" w:rsidP="00E95B99">
            <w:pPr>
              <w:spacing w:before="60" w:after="60"/>
              <w:jc w:val="both"/>
              <w:rPr>
                <w:lang w:val="en-US"/>
              </w:rPr>
            </w:pPr>
            <w:r w:rsidRPr="00857701">
              <w:rPr>
                <w:lang w:val="en"/>
              </w:rPr>
              <w:t>Familiarized with the experience requirements set in the Procurement Regulations, as well as the purpose of the Procurement described in the Technical specifications, we draw attention to the fact that the Tenderer is required to have expert experience in the European Union, excluding experts who have gained experience in the Baltic Countries.</w:t>
            </w:r>
            <w:r w:rsidRPr="00857701">
              <w:rPr>
                <w:lang w:val="en-US"/>
              </w:rPr>
              <w:t xml:space="preserve"> </w:t>
            </w:r>
          </w:p>
          <w:p w14:paraId="3D898092" w14:textId="77777777" w:rsidR="008F50D5" w:rsidRPr="00857701" w:rsidRDefault="008F50D5" w:rsidP="00E95B99">
            <w:pPr>
              <w:spacing w:before="60" w:after="60"/>
              <w:jc w:val="both"/>
              <w:rPr>
                <w:lang w:val="en-US"/>
              </w:rPr>
            </w:pPr>
            <w:r w:rsidRPr="00857701">
              <w:rPr>
                <w:lang w:val="en-US"/>
              </w:rPr>
              <w:t xml:space="preserve">Such requirements unduly limit the number of potential tenderers, as well as non ¬ compliant with free market principles (free movement of goods, services, capital between Member States) In the European Union, set in Article 4 of the Treaty on the Functioning of the European Union (TFEU) Paragraphs 2 (a), 26, 27, 114 and 115. </w:t>
            </w:r>
          </w:p>
          <w:p w14:paraId="5F164238" w14:textId="77777777" w:rsidR="008F50D5" w:rsidRPr="00857701" w:rsidRDefault="008F50D5" w:rsidP="00E95B99">
            <w:pPr>
              <w:spacing w:before="60" w:after="60"/>
              <w:jc w:val="both"/>
              <w:rPr>
                <w:lang w:val="en-US"/>
              </w:rPr>
            </w:pPr>
            <w:r w:rsidRPr="00857701">
              <w:rPr>
                <w:lang w:val="en-US"/>
              </w:rPr>
              <w:t>In the applicant's view, experts who gained experience in projects realized in the Baltic States, combined with the overall experience gained in the field are capable of achieving the objective pursued in the scope of this procurement.</w:t>
            </w:r>
          </w:p>
          <w:p w14:paraId="73F74EBC" w14:textId="77777777" w:rsidR="008F50D5" w:rsidRPr="00857701" w:rsidRDefault="008F50D5" w:rsidP="00E95B99">
            <w:pPr>
              <w:spacing w:before="60" w:after="60"/>
              <w:jc w:val="both"/>
            </w:pPr>
            <w:r w:rsidRPr="00857701">
              <w:rPr>
                <w:lang w:val="en-US"/>
              </w:rPr>
              <w:t>In light of the above, we ask the procurement commission</w:t>
            </w:r>
            <w:r>
              <w:rPr>
                <w:lang w:val="en-US"/>
              </w:rPr>
              <w:t xml:space="preserve"> to</w:t>
            </w:r>
            <w:r w:rsidRPr="00857701">
              <w:rPr>
                <w:lang w:val="en-US"/>
              </w:rPr>
              <w:t xml:space="preserve"> amend Regulations</w:t>
            </w:r>
            <w:r>
              <w:rPr>
                <w:lang w:val="en-US"/>
              </w:rPr>
              <w:t xml:space="preserve"> by deleting restrictive requirement</w:t>
            </w:r>
            <w:r w:rsidRPr="00857701">
              <w:rPr>
                <w:lang w:val="en-US"/>
              </w:rPr>
              <w:t xml:space="preserve"> </w:t>
            </w:r>
            <w:r>
              <w:rPr>
                <w:lang w:val="en-US"/>
              </w:rPr>
              <w:t xml:space="preserve">and express the experience requirement in the following way </w:t>
            </w:r>
            <w:r w:rsidRPr="00857701">
              <w:rPr>
                <w:lang w:val="en-US"/>
              </w:rPr>
              <w:t xml:space="preserve">“All Contracts/Projects used to demonstrate the Experts Experience had to be implemented within European Union or European Economic Area. </w:t>
            </w:r>
          </w:p>
          <w:p w14:paraId="71946DD1" w14:textId="77777777" w:rsidR="008F50D5" w:rsidRPr="00857701" w:rsidRDefault="008F50D5" w:rsidP="00E95B99">
            <w:pPr>
              <w:spacing w:before="60" w:after="60"/>
              <w:jc w:val="both"/>
              <w:rPr>
                <w:lang w:val="en-US"/>
              </w:rPr>
            </w:pPr>
            <w:r w:rsidRPr="00857701">
              <w:rPr>
                <w:lang w:val="en-US"/>
              </w:rPr>
              <w:t>In addition, it is not clear how to interpret the object of the First Lot “INTERNATIONAL PROCUREMENT SUPPORT SERVICES”, in the context of procurement in the European there is no concept of “international” for the Member States of the Union. Please provide clarification.</w:t>
            </w:r>
          </w:p>
          <w:p w14:paraId="6645DDF0" w14:textId="77777777" w:rsidR="008F50D5" w:rsidRPr="00BD4018" w:rsidRDefault="008F50D5" w:rsidP="00E95B99">
            <w:pPr>
              <w:spacing w:before="60" w:after="60"/>
              <w:jc w:val="both"/>
              <w:rPr>
                <w:lang w:val="en-GB"/>
              </w:rPr>
            </w:pPr>
          </w:p>
        </w:tc>
        <w:tc>
          <w:tcPr>
            <w:tcW w:w="4530" w:type="dxa"/>
            <w:shd w:val="clear" w:color="auto" w:fill="auto"/>
          </w:tcPr>
          <w:p w14:paraId="21603980" w14:textId="0B3D7D1E" w:rsidR="008F50D5" w:rsidRPr="006521C1" w:rsidRDefault="008F50D5" w:rsidP="00E95B99">
            <w:pPr>
              <w:spacing w:before="60" w:after="60" w:line="257" w:lineRule="auto"/>
              <w:jc w:val="both"/>
            </w:pPr>
            <w:r w:rsidRPr="006521C1">
              <w:rPr>
                <w:rFonts w:eastAsia="Calibri" w:cs="Calibri"/>
                <w:lang w:val="en-GB"/>
              </w:rPr>
              <w:t>Procurement commission would like to clarify, that the Client’s intention, as stated in the</w:t>
            </w:r>
            <w:r w:rsidR="00642FEB">
              <w:rPr>
                <w:rFonts w:eastAsia="Calibri" w:cs="Calibri"/>
                <w:lang w:val="en-GB"/>
              </w:rPr>
              <w:t xml:space="preserve"> particular</w:t>
            </w:r>
            <w:r w:rsidRPr="006521C1">
              <w:rPr>
                <w:rFonts w:eastAsia="Calibri" w:cs="Calibri"/>
                <w:lang w:val="en-GB"/>
              </w:rPr>
              <w:t xml:space="preserve"> lot description in Section 2.1 of the Technical Specification is, through analysis and evaluation to receive advice on improving its own practices. For this, the Client deems it necessary to include expertise regarding a strategic view in procurement best practices outside the Baltic states. This enables the Client to obtain information and proposals on best practices from the EU level and implement those in its activities.</w:t>
            </w:r>
          </w:p>
          <w:p w14:paraId="67DDA416" w14:textId="77777777" w:rsidR="008F50D5" w:rsidRDefault="008F50D5" w:rsidP="00E95B99">
            <w:pPr>
              <w:spacing w:before="60" w:after="60" w:line="257" w:lineRule="auto"/>
              <w:jc w:val="both"/>
              <w:rPr>
                <w:rFonts w:eastAsia="Calibri" w:cs="Calibri"/>
                <w:lang w:val="en-GB"/>
              </w:rPr>
            </w:pPr>
            <w:r w:rsidRPr="006521C1">
              <w:rPr>
                <w:rFonts w:eastAsia="Calibri" w:cs="Calibri"/>
                <w:lang w:val="en-GB"/>
              </w:rPr>
              <w:t>The procurement commission would also like to stress that in order to maximise market participation, the procurement is divided into lots. This enables tenderers to participate in the procurement by submitting a tender in the lots best suited to the tenderer’s expertise.</w:t>
            </w:r>
          </w:p>
          <w:p w14:paraId="038A99E7" w14:textId="29D9263E" w:rsidR="008F50D5" w:rsidRPr="00FA4187" w:rsidRDefault="008F50D5" w:rsidP="00E95B99">
            <w:pPr>
              <w:spacing w:before="60" w:after="60" w:line="257" w:lineRule="auto"/>
              <w:jc w:val="both"/>
            </w:pPr>
            <w:r w:rsidRPr="00DA1411">
              <w:rPr>
                <w:rFonts w:eastAsia="Calibri" w:cs="Calibri"/>
                <w:lang w:val="en-GB"/>
              </w:rPr>
              <w:t>The submitted request only applies to the lot titled “International procurement support” and the very nature of the services the Client wishes to receive from said lot is closely tied to the requirements that the Client has set to the previous experience of the providers of these services.</w:t>
            </w:r>
          </w:p>
          <w:p w14:paraId="773EE172" w14:textId="77777777" w:rsidR="008F50D5" w:rsidRPr="0086785B" w:rsidRDefault="008F50D5" w:rsidP="00E95B99">
            <w:pPr>
              <w:spacing w:before="60" w:after="60" w:line="257" w:lineRule="auto"/>
              <w:jc w:val="both"/>
            </w:pPr>
            <w:r w:rsidRPr="0086785B">
              <w:rPr>
                <w:rFonts w:eastAsia="Calibri" w:cs="Calibri"/>
                <w:lang w:val="en-GB"/>
              </w:rPr>
              <w:t xml:space="preserve">Considering this, the procurement commission deems the request to not be justified and does therefore not amend the regulation. </w:t>
            </w:r>
          </w:p>
          <w:p w14:paraId="425BCAE6" w14:textId="272189C3" w:rsidR="008F50D5" w:rsidRPr="0086785B" w:rsidRDefault="008F50D5" w:rsidP="00E95B99">
            <w:pPr>
              <w:spacing w:before="60" w:after="60" w:line="257" w:lineRule="auto"/>
              <w:jc w:val="both"/>
            </w:pPr>
            <w:r w:rsidRPr="0086785B">
              <w:rPr>
                <w:rFonts w:eastAsia="Calibri" w:cs="Calibri"/>
                <w:lang w:val="en-GB"/>
              </w:rPr>
              <w:t>The request to clarify the object of the procurement lot is too vague and general in nature for the commission to properly address. The commission kindly reminds that the description to each procurement lot is provided in the Technical Specification (Annex 1 to the Procurement Regulations).</w:t>
            </w:r>
          </w:p>
          <w:p w14:paraId="5683B664" w14:textId="77777777" w:rsidR="008F50D5" w:rsidRPr="00FA4187" w:rsidRDefault="008F50D5" w:rsidP="00E95B99">
            <w:pPr>
              <w:spacing w:before="60" w:after="60"/>
              <w:jc w:val="both"/>
              <w:rPr>
                <w:rFonts w:eastAsia="Times New Roman"/>
                <w:lang w:val="en-GB"/>
              </w:rPr>
            </w:pPr>
            <w:r w:rsidRPr="0086785B">
              <w:rPr>
                <w:rFonts w:eastAsia="Times New Roman"/>
                <w:lang w:val="en-GB"/>
              </w:rPr>
              <w:t>The term</w:t>
            </w:r>
            <w:r>
              <w:rPr>
                <w:rFonts w:eastAsia="Times New Roman"/>
                <w:lang w:val="en-GB"/>
              </w:rPr>
              <w:t xml:space="preserve"> “International</w:t>
            </w:r>
            <w:r w:rsidRPr="0086785B">
              <w:rPr>
                <w:rFonts w:eastAsia="Times New Roman"/>
                <w:lang w:val="en-GB"/>
              </w:rPr>
              <w:t>” in the nature of the scope of procurement is not related to the procurement legislation itself.</w:t>
            </w:r>
          </w:p>
        </w:tc>
      </w:tr>
      <w:tr w:rsidR="008F50D5" w:rsidRPr="00860AAF" w14:paraId="3B84484E" w14:textId="77777777" w:rsidTr="00E95B99">
        <w:tc>
          <w:tcPr>
            <w:tcW w:w="562" w:type="dxa"/>
          </w:tcPr>
          <w:p w14:paraId="0B0983CE" w14:textId="73550D03" w:rsidR="008F50D5" w:rsidRDefault="6EE7A74E" w:rsidP="00E95B99">
            <w:pPr>
              <w:spacing w:beforeLines="60" w:before="144" w:afterLines="60" w:after="144"/>
              <w:jc w:val="both"/>
              <w:rPr>
                <w:rFonts w:eastAsia="Times New Roman"/>
                <w:b/>
                <w:bCs/>
                <w:lang w:val="en-US"/>
              </w:rPr>
            </w:pPr>
            <w:r w:rsidRPr="274340D5">
              <w:rPr>
                <w:rFonts w:eastAsia="Times New Roman"/>
                <w:b/>
                <w:bCs/>
                <w:lang w:val="en-US"/>
              </w:rPr>
              <w:t>2</w:t>
            </w:r>
            <w:r w:rsidR="000061B4">
              <w:rPr>
                <w:rFonts w:eastAsia="Times New Roman"/>
                <w:b/>
                <w:bCs/>
                <w:lang w:val="en-US"/>
              </w:rPr>
              <w:t>.</w:t>
            </w:r>
          </w:p>
        </w:tc>
        <w:tc>
          <w:tcPr>
            <w:tcW w:w="3969" w:type="dxa"/>
          </w:tcPr>
          <w:p w14:paraId="07122CB0" w14:textId="77777777" w:rsidR="008F50D5" w:rsidRPr="007E54AD" w:rsidRDefault="008F50D5" w:rsidP="00E95B99">
            <w:pPr>
              <w:spacing w:before="60" w:after="60"/>
              <w:jc w:val="both"/>
            </w:pPr>
            <w:r w:rsidRPr="007E54AD">
              <w:t>Iepazīstoties ar iepirkumā izvirzītajām pretendenta pieredzes prasībām, kā arī tehniskajā specifikācijā aprakstīto iepirkuma mērķi, vēršam uzmanību, ka pretendentam izvirzītas prasības attiecībā uz ekspertu pieredzi Eiropas savienībā, izslēdzot ekspertus, kas guvuši pieredzi Baltijas valstīs. Šādas izvirzītās prasības nepamatoti ierobežo potenciālo pretendentu skaitu, kā arī neatbilst brīvā tirgus principiem (brīvai preču, pakalpojumu, kapitāla apritei starp dalībvalstīm) Eiropas savienībā, kas nostiprināts Līguma par Eiropas Savienības darbību (LESD) 4. panta 2. punkta a) apakšpunkts, 26., 27., 114. un 115. pantā.</w:t>
            </w:r>
          </w:p>
          <w:p w14:paraId="5F490DEA" w14:textId="77777777" w:rsidR="008F50D5" w:rsidRPr="007E54AD" w:rsidRDefault="008F50D5" w:rsidP="00E95B99">
            <w:pPr>
              <w:spacing w:before="60" w:after="60"/>
              <w:jc w:val="both"/>
            </w:pPr>
            <w:r w:rsidRPr="007E54AD">
              <w:t xml:space="preserve">Pretendenta ieskatā, eksperti, kas guvuši pieredzi projektos, kas realizēti Baltijas valstīs, apvienojumā ar jomā gūto kopējo pieredzi ir spējīgi realizēt šī iepirkuma ietvarā izvirzīto mērķi. </w:t>
            </w:r>
          </w:p>
          <w:p w14:paraId="10A7A9C5" w14:textId="77777777" w:rsidR="008F50D5" w:rsidRPr="007E54AD" w:rsidRDefault="008F50D5" w:rsidP="00E95B99">
            <w:pPr>
              <w:spacing w:before="60" w:after="60"/>
              <w:jc w:val="both"/>
            </w:pPr>
            <w:r w:rsidRPr="007E54AD">
              <w:t xml:space="preserve">Ņemot vērā iepriekš minēto, lūdzam iepirkumu komisiju veikt grozījumus, dzēšot prasības daļu attiecībā uz pieredzes gūšanu ārpus Baltijas valstīm izsakot prasību šādā redakcijā: </w:t>
            </w:r>
          </w:p>
          <w:p w14:paraId="0B28A34A" w14:textId="77777777" w:rsidR="008F50D5" w:rsidRPr="007E54AD" w:rsidRDefault="008F50D5" w:rsidP="00E95B99">
            <w:pPr>
              <w:spacing w:before="60" w:after="60"/>
              <w:jc w:val="both"/>
            </w:pPr>
            <w:r w:rsidRPr="007E54AD">
              <w:t>“</w:t>
            </w:r>
            <w:proofErr w:type="spellStart"/>
            <w:r w:rsidRPr="007E54AD">
              <w:rPr>
                <w:b/>
                <w:bCs/>
              </w:rPr>
              <w:t>All</w:t>
            </w:r>
            <w:proofErr w:type="spellEnd"/>
            <w:r w:rsidRPr="007E54AD">
              <w:rPr>
                <w:b/>
                <w:bCs/>
              </w:rPr>
              <w:t xml:space="preserve"> </w:t>
            </w:r>
            <w:proofErr w:type="spellStart"/>
            <w:r w:rsidRPr="007E54AD">
              <w:rPr>
                <w:b/>
                <w:bCs/>
              </w:rPr>
              <w:t>contracts</w:t>
            </w:r>
            <w:proofErr w:type="spellEnd"/>
            <w:r w:rsidRPr="007E54AD">
              <w:rPr>
                <w:b/>
                <w:bCs/>
              </w:rPr>
              <w:t>/</w:t>
            </w:r>
            <w:proofErr w:type="spellStart"/>
            <w:r w:rsidRPr="007E54AD">
              <w:rPr>
                <w:b/>
                <w:bCs/>
              </w:rPr>
              <w:t>projects</w:t>
            </w:r>
            <w:proofErr w:type="spellEnd"/>
            <w:r w:rsidRPr="007E54AD">
              <w:rPr>
                <w:b/>
                <w:bCs/>
              </w:rPr>
              <w:t xml:space="preserve"> </w:t>
            </w:r>
            <w:proofErr w:type="spellStart"/>
            <w:r w:rsidRPr="007E54AD">
              <w:rPr>
                <w:b/>
                <w:bCs/>
              </w:rPr>
              <w:t>used</w:t>
            </w:r>
            <w:proofErr w:type="spellEnd"/>
            <w:r w:rsidRPr="007E54AD">
              <w:rPr>
                <w:b/>
                <w:bCs/>
              </w:rPr>
              <w:t xml:space="preserve"> to </w:t>
            </w:r>
            <w:proofErr w:type="spellStart"/>
            <w:r w:rsidRPr="007E54AD">
              <w:rPr>
                <w:b/>
                <w:bCs/>
              </w:rPr>
              <w:t>demonstrate</w:t>
            </w:r>
            <w:proofErr w:type="spellEnd"/>
            <w:r w:rsidRPr="007E54AD">
              <w:rPr>
                <w:b/>
                <w:bCs/>
              </w:rPr>
              <w:t xml:space="preserve"> </w:t>
            </w:r>
            <w:proofErr w:type="spellStart"/>
            <w:r w:rsidRPr="007E54AD">
              <w:rPr>
                <w:b/>
                <w:bCs/>
              </w:rPr>
              <w:t>the</w:t>
            </w:r>
            <w:proofErr w:type="spellEnd"/>
            <w:r w:rsidRPr="007E54AD">
              <w:rPr>
                <w:b/>
                <w:bCs/>
              </w:rPr>
              <w:t xml:space="preserve"> </w:t>
            </w:r>
            <w:proofErr w:type="spellStart"/>
            <w:r w:rsidRPr="007E54AD">
              <w:rPr>
                <w:b/>
                <w:bCs/>
              </w:rPr>
              <w:t>Experts</w:t>
            </w:r>
            <w:proofErr w:type="spellEnd"/>
            <w:r w:rsidRPr="007E54AD">
              <w:rPr>
                <w:b/>
                <w:bCs/>
              </w:rPr>
              <w:t xml:space="preserve"> </w:t>
            </w:r>
            <w:proofErr w:type="spellStart"/>
            <w:r w:rsidRPr="007E54AD">
              <w:rPr>
                <w:b/>
                <w:bCs/>
              </w:rPr>
              <w:t>experience</w:t>
            </w:r>
            <w:proofErr w:type="spellEnd"/>
            <w:r w:rsidRPr="007E54AD">
              <w:rPr>
                <w:b/>
                <w:bCs/>
              </w:rPr>
              <w:t xml:space="preserve"> </w:t>
            </w:r>
            <w:proofErr w:type="spellStart"/>
            <w:r w:rsidRPr="007E54AD">
              <w:rPr>
                <w:b/>
                <w:bCs/>
              </w:rPr>
              <w:t>had</w:t>
            </w:r>
            <w:proofErr w:type="spellEnd"/>
            <w:r w:rsidRPr="007E54AD">
              <w:rPr>
                <w:b/>
                <w:bCs/>
              </w:rPr>
              <w:t xml:space="preserve"> to </w:t>
            </w:r>
            <w:proofErr w:type="spellStart"/>
            <w:r w:rsidRPr="007E54AD">
              <w:rPr>
                <w:b/>
                <w:bCs/>
              </w:rPr>
              <w:t>be</w:t>
            </w:r>
            <w:proofErr w:type="spellEnd"/>
            <w:r w:rsidRPr="007E54AD">
              <w:rPr>
                <w:b/>
                <w:bCs/>
              </w:rPr>
              <w:t xml:space="preserve"> </w:t>
            </w:r>
            <w:proofErr w:type="spellStart"/>
            <w:r w:rsidRPr="007E54AD">
              <w:rPr>
                <w:b/>
                <w:bCs/>
              </w:rPr>
              <w:t>implemented</w:t>
            </w:r>
            <w:proofErr w:type="spellEnd"/>
            <w:r w:rsidRPr="007E54AD">
              <w:rPr>
                <w:b/>
                <w:bCs/>
              </w:rPr>
              <w:t xml:space="preserve"> </w:t>
            </w:r>
            <w:proofErr w:type="spellStart"/>
            <w:r w:rsidRPr="007E54AD">
              <w:rPr>
                <w:b/>
                <w:bCs/>
              </w:rPr>
              <w:t>within</w:t>
            </w:r>
            <w:proofErr w:type="spellEnd"/>
            <w:r w:rsidRPr="007E54AD">
              <w:rPr>
                <w:b/>
                <w:bCs/>
              </w:rPr>
              <w:t xml:space="preserve"> </w:t>
            </w:r>
            <w:proofErr w:type="spellStart"/>
            <w:r w:rsidRPr="007E54AD">
              <w:rPr>
                <w:b/>
                <w:bCs/>
              </w:rPr>
              <w:t>European</w:t>
            </w:r>
            <w:proofErr w:type="spellEnd"/>
            <w:r w:rsidRPr="007E54AD">
              <w:rPr>
                <w:b/>
                <w:bCs/>
              </w:rPr>
              <w:t xml:space="preserve"> </w:t>
            </w:r>
            <w:proofErr w:type="spellStart"/>
            <w:r w:rsidRPr="007E54AD">
              <w:rPr>
                <w:b/>
                <w:bCs/>
              </w:rPr>
              <w:t>Union</w:t>
            </w:r>
            <w:proofErr w:type="spellEnd"/>
            <w:r w:rsidRPr="007E54AD">
              <w:rPr>
                <w:b/>
                <w:bCs/>
              </w:rPr>
              <w:t xml:space="preserve"> </w:t>
            </w:r>
            <w:proofErr w:type="spellStart"/>
            <w:r w:rsidRPr="007E54AD">
              <w:rPr>
                <w:b/>
                <w:bCs/>
              </w:rPr>
              <w:t>or</w:t>
            </w:r>
            <w:proofErr w:type="spellEnd"/>
            <w:r w:rsidRPr="007E54AD">
              <w:rPr>
                <w:b/>
                <w:bCs/>
              </w:rPr>
              <w:t xml:space="preserve"> </w:t>
            </w:r>
            <w:proofErr w:type="spellStart"/>
            <w:r w:rsidRPr="007E54AD">
              <w:rPr>
                <w:b/>
                <w:bCs/>
              </w:rPr>
              <w:t>European</w:t>
            </w:r>
            <w:proofErr w:type="spellEnd"/>
            <w:r w:rsidRPr="007E54AD">
              <w:rPr>
                <w:b/>
                <w:bCs/>
              </w:rPr>
              <w:t xml:space="preserve"> Economic </w:t>
            </w:r>
            <w:proofErr w:type="spellStart"/>
            <w:r w:rsidRPr="007E54AD">
              <w:rPr>
                <w:b/>
                <w:bCs/>
              </w:rPr>
              <w:t>Area</w:t>
            </w:r>
            <w:proofErr w:type="spellEnd"/>
            <w:r w:rsidRPr="007E54AD">
              <w:rPr>
                <w:b/>
                <w:bCs/>
              </w:rPr>
              <w:t>.”</w:t>
            </w:r>
            <w:r w:rsidRPr="007E54AD">
              <w:t xml:space="preserve"> </w:t>
            </w:r>
          </w:p>
          <w:p w14:paraId="310D149E" w14:textId="77777777" w:rsidR="008F50D5" w:rsidRPr="00345AAB" w:rsidRDefault="008F50D5" w:rsidP="00E95B99">
            <w:pPr>
              <w:spacing w:before="60" w:after="60"/>
              <w:jc w:val="both"/>
              <w:rPr>
                <w:lang w:val="en-GB"/>
              </w:rPr>
            </w:pPr>
            <w:r w:rsidRPr="007E54AD">
              <w:t xml:space="preserve">Papildus norādām, ka nav izprotams, kā interpretēt pirmās </w:t>
            </w:r>
            <w:proofErr w:type="spellStart"/>
            <w:r w:rsidRPr="007E54AD">
              <w:t>lotes</w:t>
            </w:r>
            <w:proofErr w:type="spellEnd"/>
            <w:r w:rsidRPr="007E54AD">
              <w:t xml:space="preserve"> priekšmetu “INTERNATIONAL PROCUREMENT SUPPORT SERVICES”, jo iepirkumu kontekstā Eiropas savienības dalībvalstīm nepastāv jēdziens “Starptautisks”. Lūdzam sniegt skaidrojumu.</w:t>
            </w:r>
          </w:p>
        </w:tc>
        <w:tc>
          <w:tcPr>
            <w:tcW w:w="4530" w:type="dxa"/>
            <w:shd w:val="clear" w:color="auto" w:fill="auto"/>
          </w:tcPr>
          <w:p w14:paraId="5DDCB6DB" w14:textId="77777777" w:rsidR="008F50D5" w:rsidRDefault="008F50D5" w:rsidP="00E95B99">
            <w:pPr>
              <w:spacing w:before="60" w:after="60"/>
              <w:jc w:val="both"/>
              <w:rPr>
                <w:rFonts w:eastAsia="Times New Roman"/>
                <w:bCs/>
              </w:rPr>
            </w:pPr>
            <w:r w:rsidRPr="00A871B7">
              <w:rPr>
                <w:rFonts w:eastAsia="Times New Roman"/>
                <w:bCs/>
              </w:rPr>
              <w:t>Iepirkuma komisija vēlas p</w:t>
            </w:r>
            <w:r>
              <w:rPr>
                <w:rFonts w:eastAsia="Times New Roman"/>
                <w:bCs/>
              </w:rPr>
              <w:t>askaidrot</w:t>
            </w:r>
            <w:r w:rsidRPr="00A871B7">
              <w:rPr>
                <w:rFonts w:eastAsia="Times New Roman"/>
                <w:bCs/>
              </w:rPr>
              <w:t xml:space="preserve">, ka </w:t>
            </w:r>
            <w:r>
              <w:rPr>
                <w:rFonts w:eastAsia="Times New Roman"/>
                <w:bCs/>
              </w:rPr>
              <w:t>Pasūtītāja</w:t>
            </w:r>
            <w:r w:rsidRPr="00A871B7">
              <w:rPr>
                <w:rFonts w:eastAsia="Times New Roman"/>
                <w:bCs/>
              </w:rPr>
              <w:t xml:space="preserve"> nodoms, </w:t>
            </w:r>
            <w:r>
              <w:rPr>
                <w:rFonts w:eastAsia="Times New Roman"/>
                <w:bCs/>
              </w:rPr>
              <w:t>ievērojot</w:t>
            </w:r>
            <w:r w:rsidRPr="00A871B7">
              <w:rPr>
                <w:rFonts w:eastAsia="Times New Roman"/>
                <w:bCs/>
              </w:rPr>
              <w:t xml:space="preserve"> </w:t>
            </w:r>
            <w:r>
              <w:rPr>
                <w:rFonts w:eastAsia="Times New Roman"/>
                <w:bCs/>
              </w:rPr>
              <w:t>Tehniskajās specifikācijas</w:t>
            </w:r>
            <w:r w:rsidRPr="00A871B7">
              <w:rPr>
                <w:rFonts w:eastAsia="Times New Roman"/>
                <w:bCs/>
              </w:rPr>
              <w:t xml:space="preserve"> 2.1. </w:t>
            </w:r>
            <w:r>
              <w:rPr>
                <w:rFonts w:eastAsia="Times New Roman"/>
                <w:bCs/>
              </w:rPr>
              <w:t>sa</w:t>
            </w:r>
            <w:r w:rsidRPr="00A871B7">
              <w:rPr>
                <w:rFonts w:eastAsia="Times New Roman"/>
                <w:bCs/>
              </w:rPr>
              <w:t>daļā</w:t>
            </w:r>
            <w:r>
              <w:rPr>
                <w:rFonts w:eastAsia="Times New Roman"/>
                <w:bCs/>
              </w:rPr>
              <w:t xml:space="preserve"> minēto</w:t>
            </w:r>
            <w:r w:rsidRPr="00A871B7">
              <w:rPr>
                <w:rFonts w:eastAsia="Times New Roman"/>
                <w:bCs/>
              </w:rPr>
              <w:t>, ir ar analīzi un novērtēšanu</w:t>
            </w:r>
            <w:r>
              <w:rPr>
                <w:rFonts w:eastAsia="Times New Roman"/>
                <w:bCs/>
              </w:rPr>
              <w:t xml:space="preserve"> saistīti pakalpojumi</w:t>
            </w:r>
            <w:r w:rsidRPr="00A871B7">
              <w:rPr>
                <w:rFonts w:eastAsia="Times New Roman"/>
                <w:bCs/>
              </w:rPr>
              <w:t xml:space="preserve">, lai saņemtu </w:t>
            </w:r>
            <w:r>
              <w:rPr>
                <w:rFonts w:eastAsia="Times New Roman"/>
                <w:bCs/>
              </w:rPr>
              <w:t>konsultācijas un ekspertu pakalpojumus</w:t>
            </w:r>
            <w:r w:rsidRPr="00A871B7">
              <w:rPr>
                <w:rFonts w:eastAsia="Times New Roman"/>
                <w:bCs/>
              </w:rPr>
              <w:t xml:space="preserve"> par savas</w:t>
            </w:r>
            <w:r>
              <w:rPr>
                <w:rFonts w:eastAsia="Times New Roman"/>
                <w:bCs/>
              </w:rPr>
              <w:t xml:space="preserve"> esošās</w:t>
            </w:r>
            <w:r w:rsidRPr="00A871B7">
              <w:rPr>
                <w:rFonts w:eastAsia="Times New Roman"/>
                <w:bCs/>
              </w:rPr>
              <w:t xml:space="preserve"> prakses uzlabošanu. </w:t>
            </w:r>
          </w:p>
          <w:p w14:paraId="775FD801" w14:textId="77777777" w:rsidR="008F50D5" w:rsidRPr="00A871B7" w:rsidRDefault="008F50D5" w:rsidP="00E95B99">
            <w:pPr>
              <w:spacing w:before="60" w:after="60"/>
              <w:jc w:val="both"/>
              <w:rPr>
                <w:rFonts w:eastAsia="Times New Roman"/>
                <w:bCs/>
              </w:rPr>
            </w:pPr>
            <w:r>
              <w:rPr>
                <w:rFonts w:eastAsia="Times New Roman"/>
                <w:bCs/>
              </w:rPr>
              <w:t xml:space="preserve">Tādējādi, lai saņemtu savai vajadzībai atbilstošu pakalpojumu, Pasūtītājs </w:t>
            </w:r>
            <w:r w:rsidRPr="00A871B7">
              <w:rPr>
                <w:rFonts w:eastAsia="Times New Roman"/>
                <w:bCs/>
              </w:rPr>
              <w:t xml:space="preserve">uzskata par nepieciešamu iekļaut </w:t>
            </w:r>
            <w:r>
              <w:rPr>
                <w:rFonts w:eastAsia="Times New Roman"/>
                <w:bCs/>
              </w:rPr>
              <w:t xml:space="preserve">prasībās tādas pieredzes prasības, kur pieredze iegūta </w:t>
            </w:r>
            <w:r w:rsidRPr="00A871B7">
              <w:rPr>
                <w:rFonts w:eastAsia="Times New Roman"/>
                <w:bCs/>
              </w:rPr>
              <w:t>ārpus Baltijas valstīm</w:t>
            </w:r>
            <w:r>
              <w:rPr>
                <w:rFonts w:eastAsia="Times New Roman"/>
                <w:bCs/>
              </w:rPr>
              <w:t xml:space="preserve"> </w:t>
            </w:r>
            <w:r w:rsidRPr="00A871B7">
              <w:rPr>
                <w:rFonts w:eastAsia="Times New Roman"/>
                <w:bCs/>
              </w:rPr>
              <w:t xml:space="preserve">Tas ļauj </w:t>
            </w:r>
            <w:r>
              <w:rPr>
                <w:rFonts w:eastAsia="Times New Roman"/>
                <w:bCs/>
              </w:rPr>
              <w:t xml:space="preserve">Pasūtītājam </w:t>
            </w:r>
            <w:r w:rsidRPr="00A871B7">
              <w:rPr>
                <w:rFonts w:eastAsia="Times New Roman"/>
                <w:bCs/>
              </w:rPr>
              <w:t xml:space="preserve">iegūt informāciju un priekšlikumus par </w:t>
            </w:r>
            <w:proofErr w:type="spellStart"/>
            <w:r w:rsidRPr="00A871B7">
              <w:rPr>
                <w:rFonts w:eastAsia="Times New Roman"/>
                <w:bCs/>
              </w:rPr>
              <w:t>paraugpraksi</w:t>
            </w:r>
            <w:proofErr w:type="spellEnd"/>
            <w:r w:rsidRPr="00A871B7">
              <w:rPr>
                <w:rFonts w:eastAsia="Times New Roman"/>
                <w:bCs/>
              </w:rPr>
              <w:t xml:space="preserve"> </w:t>
            </w:r>
            <w:r>
              <w:rPr>
                <w:rFonts w:eastAsia="Times New Roman"/>
                <w:bCs/>
              </w:rPr>
              <w:t xml:space="preserve">no </w:t>
            </w:r>
            <w:r w:rsidRPr="00A871B7">
              <w:rPr>
                <w:rFonts w:eastAsia="Times New Roman"/>
                <w:bCs/>
              </w:rPr>
              <w:t>ES līmeņa</w:t>
            </w:r>
            <w:r>
              <w:rPr>
                <w:rFonts w:eastAsia="Times New Roman"/>
                <w:bCs/>
              </w:rPr>
              <w:t xml:space="preserve"> pasūtītājiem</w:t>
            </w:r>
            <w:r w:rsidRPr="00A871B7">
              <w:rPr>
                <w:rFonts w:eastAsia="Times New Roman"/>
                <w:bCs/>
              </w:rPr>
              <w:t xml:space="preserve"> un </w:t>
            </w:r>
            <w:r>
              <w:rPr>
                <w:rFonts w:eastAsia="Times New Roman"/>
                <w:bCs/>
              </w:rPr>
              <w:t>pārņemt</w:t>
            </w:r>
            <w:r w:rsidRPr="00A871B7">
              <w:rPr>
                <w:rFonts w:eastAsia="Times New Roman"/>
                <w:bCs/>
              </w:rPr>
              <w:t xml:space="preserve"> to savā </w:t>
            </w:r>
            <w:r>
              <w:rPr>
                <w:rFonts w:eastAsia="Times New Roman"/>
                <w:bCs/>
              </w:rPr>
              <w:t xml:space="preserve">turpmākā </w:t>
            </w:r>
            <w:r w:rsidRPr="00A871B7">
              <w:rPr>
                <w:rFonts w:eastAsia="Times New Roman"/>
                <w:bCs/>
              </w:rPr>
              <w:t>darbībā.</w:t>
            </w:r>
          </w:p>
          <w:p w14:paraId="32EEA682" w14:textId="77777777" w:rsidR="008F50D5" w:rsidRPr="00A871B7" w:rsidRDefault="008F50D5" w:rsidP="00E95B99">
            <w:pPr>
              <w:spacing w:before="60" w:after="60"/>
              <w:jc w:val="both"/>
              <w:rPr>
                <w:rFonts w:eastAsia="Times New Roman"/>
                <w:bCs/>
              </w:rPr>
            </w:pPr>
          </w:p>
          <w:p w14:paraId="0876A4B8" w14:textId="381207BD" w:rsidR="008F50D5" w:rsidRPr="00A871B7" w:rsidRDefault="008F50D5" w:rsidP="00E95B99">
            <w:pPr>
              <w:spacing w:before="60" w:after="60"/>
              <w:jc w:val="both"/>
              <w:rPr>
                <w:rFonts w:eastAsia="Times New Roman"/>
                <w:bCs/>
              </w:rPr>
            </w:pPr>
            <w:r w:rsidRPr="00A871B7">
              <w:rPr>
                <w:rFonts w:eastAsia="Times New Roman"/>
                <w:bCs/>
              </w:rPr>
              <w:t xml:space="preserve">Iepirkuma komisija vēlas arī uzsvērt, ka, lai palielinātu </w:t>
            </w:r>
            <w:r>
              <w:rPr>
                <w:rFonts w:eastAsia="Times New Roman"/>
                <w:bCs/>
              </w:rPr>
              <w:t>ieinteresēto piegādātāju</w:t>
            </w:r>
            <w:r w:rsidRPr="00A871B7">
              <w:rPr>
                <w:rFonts w:eastAsia="Times New Roman"/>
                <w:bCs/>
              </w:rPr>
              <w:t xml:space="preserve"> līdzdalību, iepirkums </w:t>
            </w:r>
            <w:r>
              <w:rPr>
                <w:rFonts w:eastAsia="Times New Roman"/>
                <w:bCs/>
              </w:rPr>
              <w:t>ir</w:t>
            </w:r>
            <w:r w:rsidRPr="00A871B7">
              <w:rPr>
                <w:rFonts w:eastAsia="Times New Roman"/>
                <w:bCs/>
              </w:rPr>
              <w:t xml:space="preserve"> sadalīts vairākās daļās. Tas ļauj pretendentiem piedalīties iepirkumā, iesniedzot piedāvājumu </w:t>
            </w:r>
            <w:r>
              <w:rPr>
                <w:rFonts w:eastAsia="Times New Roman"/>
                <w:bCs/>
              </w:rPr>
              <w:t>tajās iepirkuma daļās</w:t>
            </w:r>
            <w:r w:rsidRPr="00A871B7">
              <w:rPr>
                <w:rFonts w:eastAsia="Times New Roman"/>
                <w:bCs/>
              </w:rPr>
              <w:t>, k</w:t>
            </w:r>
            <w:r>
              <w:rPr>
                <w:rFonts w:eastAsia="Times New Roman"/>
                <w:bCs/>
              </w:rPr>
              <w:t>uras</w:t>
            </w:r>
            <w:r w:rsidRPr="00A871B7">
              <w:rPr>
                <w:rFonts w:eastAsia="Times New Roman"/>
                <w:bCs/>
              </w:rPr>
              <w:t xml:space="preserve"> vislabāk piemērotas pretendenta</w:t>
            </w:r>
            <w:r>
              <w:rPr>
                <w:rFonts w:eastAsia="Times New Roman"/>
                <w:bCs/>
              </w:rPr>
              <w:t xml:space="preserve"> darbības specifikai un pieredzei. Ņemot vērā, ka uzdotais jautājums </w:t>
            </w:r>
            <w:r w:rsidRPr="00A871B7">
              <w:rPr>
                <w:rFonts w:eastAsia="Times New Roman"/>
                <w:bCs/>
              </w:rPr>
              <w:t xml:space="preserve">attiecas tikai uz </w:t>
            </w:r>
            <w:r>
              <w:rPr>
                <w:rFonts w:eastAsia="Times New Roman"/>
                <w:bCs/>
              </w:rPr>
              <w:t>iepirkuma daļu</w:t>
            </w:r>
            <w:r w:rsidRPr="00A871B7">
              <w:rPr>
                <w:rFonts w:eastAsia="Times New Roman"/>
                <w:bCs/>
              </w:rPr>
              <w:t xml:space="preserve">, </w:t>
            </w:r>
            <w:r>
              <w:rPr>
                <w:rFonts w:eastAsia="Times New Roman"/>
                <w:bCs/>
              </w:rPr>
              <w:t>“</w:t>
            </w:r>
            <w:r w:rsidRPr="00EE1D18">
              <w:rPr>
                <w:rFonts w:eastAsia="Times New Roman"/>
                <w:bCs/>
              </w:rPr>
              <w:t>Starptautiskie iepirkumu atbalsta pakalpojumi</w:t>
            </w:r>
            <w:r>
              <w:rPr>
                <w:rFonts w:eastAsia="Times New Roman"/>
                <w:bCs/>
              </w:rPr>
              <w:t>”</w:t>
            </w:r>
            <w:r w:rsidRPr="00A871B7">
              <w:rPr>
                <w:rFonts w:eastAsia="Times New Roman"/>
                <w:bCs/>
              </w:rPr>
              <w:t xml:space="preserve">, un pakalpojumu būtība, kurus </w:t>
            </w:r>
            <w:r>
              <w:rPr>
                <w:rFonts w:eastAsia="Times New Roman"/>
                <w:bCs/>
              </w:rPr>
              <w:t xml:space="preserve">Pasūtītājs </w:t>
            </w:r>
            <w:r w:rsidRPr="00A871B7">
              <w:rPr>
                <w:rFonts w:eastAsia="Times New Roman"/>
                <w:bCs/>
              </w:rPr>
              <w:t>vēlas saņemt, ir cieši saistīta a</w:t>
            </w:r>
            <w:r w:rsidR="00CC61AB">
              <w:rPr>
                <w:rFonts w:eastAsia="Times New Roman"/>
                <w:bCs/>
              </w:rPr>
              <w:t>r</w:t>
            </w:r>
            <w:r w:rsidR="009A55A0">
              <w:rPr>
                <w:rFonts w:eastAsia="Times New Roman"/>
                <w:bCs/>
              </w:rPr>
              <w:t xml:space="preserve"> </w:t>
            </w:r>
            <w:r w:rsidR="00CC61AB">
              <w:rPr>
                <w:rFonts w:eastAsia="Times New Roman"/>
                <w:bCs/>
              </w:rPr>
              <w:t>izvirzītajām prasībām, iepirkumu komisija nesaskata pamatojumu veikt izmaiņas</w:t>
            </w:r>
          </w:p>
          <w:p w14:paraId="4A99D201" w14:textId="77777777" w:rsidR="008F50D5" w:rsidRPr="00A871B7" w:rsidRDefault="008F50D5" w:rsidP="00E95B99">
            <w:pPr>
              <w:spacing w:before="60" w:after="60"/>
              <w:jc w:val="both"/>
              <w:rPr>
                <w:rFonts w:eastAsia="Times New Roman"/>
                <w:bCs/>
              </w:rPr>
            </w:pPr>
          </w:p>
          <w:p w14:paraId="0A1A3BD2" w14:textId="77777777" w:rsidR="008F50D5" w:rsidRPr="00A871B7" w:rsidRDefault="008F50D5" w:rsidP="00E95B99">
            <w:pPr>
              <w:spacing w:before="60" w:after="60"/>
              <w:jc w:val="both"/>
              <w:rPr>
                <w:rFonts w:eastAsia="Times New Roman"/>
                <w:bCs/>
              </w:rPr>
            </w:pPr>
            <w:r w:rsidRPr="00A871B7">
              <w:rPr>
                <w:rFonts w:eastAsia="Times New Roman"/>
                <w:bCs/>
              </w:rPr>
              <w:t xml:space="preserve">Ņemot </w:t>
            </w:r>
            <w:r>
              <w:rPr>
                <w:rFonts w:eastAsia="Times New Roman"/>
                <w:bCs/>
              </w:rPr>
              <w:t>vērā augstāk minēto</w:t>
            </w:r>
            <w:r w:rsidRPr="00A871B7">
              <w:rPr>
                <w:rFonts w:eastAsia="Times New Roman"/>
                <w:bCs/>
              </w:rPr>
              <w:t>, iepirkuma komisija</w:t>
            </w:r>
            <w:r>
              <w:rPr>
                <w:rFonts w:eastAsia="Times New Roman"/>
                <w:bCs/>
              </w:rPr>
              <w:t xml:space="preserve"> uzskata iebildumus par nepamatotiem un</w:t>
            </w:r>
            <w:r w:rsidRPr="00A871B7">
              <w:rPr>
                <w:rFonts w:eastAsia="Times New Roman"/>
                <w:bCs/>
              </w:rPr>
              <w:t xml:space="preserve"> </w:t>
            </w:r>
            <w:r>
              <w:rPr>
                <w:rFonts w:eastAsia="Times New Roman"/>
                <w:bCs/>
              </w:rPr>
              <w:t>neveiks grozījumus nolikumā</w:t>
            </w:r>
          </w:p>
          <w:p w14:paraId="2B759765" w14:textId="77777777" w:rsidR="008F50D5" w:rsidRPr="00A871B7" w:rsidRDefault="008F50D5" w:rsidP="00E95B99">
            <w:pPr>
              <w:spacing w:before="60" w:after="60"/>
              <w:jc w:val="both"/>
              <w:rPr>
                <w:rFonts w:eastAsia="Times New Roman"/>
                <w:bCs/>
              </w:rPr>
            </w:pPr>
          </w:p>
          <w:p w14:paraId="593DC8B2" w14:textId="3D3EBF08" w:rsidR="008F50D5" w:rsidRPr="00A871B7" w:rsidRDefault="008F50D5" w:rsidP="00E95B99">
            <w:pPr>
              <w:spacing w:before="60" w:after="60"/>
              <w:jc w:val="both"/>
              <w:rPr>
                <w:rFonts w:eastAsia="Times New Roman"/>
                <w:bCs/>
              </w:rPr>
            </w:pPr>
            <w:r>
              <w:rPr>
                <w:rFonts w:eastAsia="Times New Roman"/>
                <w:bCs/>
              </w:rPr>
              <w:t>Iepirkumu komisija norāda, ka jautājums par termina “INTERNATIONAL” interpretāciju nav saprotams, kā arī</w:t>
            </w:r>
            <w:r w:rsidR="001B3D4D">
              <w:rPr>
                <w:rFonts w:eastAsia="Times New Roman"/>
                <w:bCs/>
              </w:rPr>
              <w:t xml:space="preserve"> vēlas </w:t>
            </w:r>
            <w:r>
              <w:rPr>
                <w:rFonts w:eastAsia="Times New Roman"/>
                <w:bCs/>
              </w:rPr>
              <w:t>atgādinā</w:t>
            </w:r>
            <w:r w:rsidR="001B3D4D">
              <w:rPr>
                <w:rFonts w:eastAsia="Times New Roman"/>
                <w:bCs/>
              </w:rPr>
              <w:t>t</w:t>
            </w:r>
            <w:r>
              <w:rPr>
                <w:rFonts w:eastAsia="Times New Roman"/>
                <w:bCs/>
              </w:rPr>
              <w:t xml:space="preserve"> ,ka katras  iepirkuma daļas (</w:t>
            </w:r>
            <w:proofErr w:type="spellStart"/>
            <w:r>
              <w:rPr>
                <w:rFonts w:eastAsia="Times New Roman"/>
                <w:bCs/>
              </w:rPr>
              <w:t>lotes</w:t>
            </w:r>
            <w:proofErr w:type="spellEnd"/>
            <w:r>
              <w:rPr>
                <w:rFonts w:eastAsia="Times New Roman"/>
                <w:bCs/>
              </w:rPr>
              <w:t xml:space="preserve">) apraksts ar skaidrojumiem ir sniegts Tehniskajās specifikācijās (Nolikuma pielikums </w:t>
            </w:r>
            <w:proofErr w:type="spellStart"/>
            <w:r>
              <w:rPr>
                <w:rFonts w:eastAsia="Times New Roman"/>
                <w:bCs/>
              </w:rPr>
              <w:t>Nr</w:t>
            </w:r>
            <w:proofErr w:type="spellEnd"/>
            <w:r>
              <w:rPr>
                <w:rFonts w:eastAsia="Times New Roman"/>
                <w:bCs/>
              </w:rPr>
              <w:t xml:space="preserve"> 1)</w:t>
            </w:r>
            <w:r w:rsidR="001B3D4D">
              <w:rPr>
                <w:rFonts w:eastAsia="Times New Roman"/>
                <w:bCs/>
              </w:rPr>
              <w:t>.</w:t>
            </w:r>
          </w:p>
          <w:p w14:paraId="324927B0" w14:textId="77777777" w:rsidR="008F50D5" w:rsidRPr="00DB0D6D" w:rsidRDefault="008F50D5" w:rsidP="00E95B99">
            <w:pPr>
              <w:spacing w:before="60" w:after="60"/>
              <w:jc w:val="both"/>
              <w:rPr>
                <w:rFonts w:eastAsia="Times New Roman"/>
                <w:bCs/>
              </w:rPr>
            </w:pPr>
            <w:r>
              <w:rPr>
                <w:rFonts w:eastAsia="Times New Roman"/>
                <w:bCs/>
              </w:rPr>
              <w:t>Papildus norādām, ka termins “INTERNATIONAL” nav saistāms ar iepirkumu jomas normatīvajiem aktiem.</w:t>
            </w:r>
          </w:p>
        </w:tc>
      </w:tr>
      <w:tr w:rsidR="000061B4" w:rsidRPr="00860AAF" w14:paraId="282AA869" w14:textId="77777777" w:rsidTr="00E95B99">
        <w:tc>
          <w:tcPr>
            <w:tcW w:w="562" w:type="dxa"/>
          </w:tcPr>
          <w:p w14:paraId="76154186" w14:textId="44E80270" w:rsidR="000061B4" w:rsidRDefault="43145BD7" w:rsidP="00E95B99">
            <w:pPr>
              <w:spacing w:beforeLines="60" w:before="144" w:afterLines="60" w:after="144"/>
              <w:jc w:val="both"/>
              <w:rPr>
                <w:rFonts w:eastAsia="Times New Roman"/>
                <w:b/>
                <w:bCs/>
                <w:lang w:val="en-US"/>
              </w:rPr>
            </w:pPr>
            <w:r w:rsidRPr="274340D5">
              <w:rPr>
                <w:rFonts w:eastAsia="Times New Roman"/>
                <w:b/>
                <w:bCs/>
                <w:lang w:val="en-US"/>
              </w:rPr>
              <w:t>3</w:t>
            </w:r>
            <w:r w:rsidR="000061B4">
              <w:rPr>
                <w:rFonts w:eastAsia="Times New Roman"/>
                <w:b/>
                <w:bCs/>
                <w:lang w:val="en-US"/>
              </w:rPr>
              <w:t>.</w:t>
            </w:r>
          </w:p>
        </w:tc>
        <w:tc>
          <w:tcPr>
            <w:tcW w:w="3969" w:type="dxa"/>
          </w:tcPr>
          <w:p w14:paraId="287F9B08" w14:textId="5D4A0B63" w:rsidR="000061B4" w:rsidRPr="0051460C" w:rsidRDefault="0051460C" w:rsidP="00E95B99">
            <w:pPr>
              <w:spacing w:before="60" w:after="60"/>
              <w:jc w:val="both"/>
              <w:rPr>
                <w:lang w:val="en-GB"/>
              </w:rPr>
            </w:pPr>
            <w:r w:rsidRPr="0051460C">
              <w:rPr>
                <w:lang w:val="en-GB"/>
              </w:rPr>
              <w:t>We are interested to submit an application for several lots. Is it possible to require a prolongation of the deadline given the specific requirements for international experts in various fields/practice areas? Please kindly inform us if the prolongation of the deadline is possible</w:t>
            </w:r>
          </w:p>
        </w:tc>
        <w:tc>
          <w:tcPr>
            <w:tcW w:w="4530" w:type="dxa"/>
            <w:shd w:val="clear" w:color="auto" w:fill="auto"/>
          </w:tcPr>
          <w:p w14:paraId="77B40A94" w14:textId="77777777" w:rsidR="000061B4" w:rsidRPr="00B92BFB" w:rsidRDefault="00E36045" w:rsidP="00E95B99">
            <w:pPr>
              <w:spacing w:before="60" w:after="60"/>
              <w:jc w:val="both"/>
              <w:rPr>
                <w:rFonts w:eastAsia="Times New Roman"/>
                <w:bCs/>
                <w:lang w:val="en-GB"/>
              </w:rPr>
            </w:pPr>
            <w:r w:rsidRPr="00B92BFB">
              <w:rPr>
                <w:rFonts w:eastAsia="Times New Roman"/>
                <w:bCs/>
                <w:lang w:val="en-GB"/>
              </w:rPr>
              <w:t xml:space="preserve">The Procurement commission has evaluated the request for an extension of the deadline for the submission of proposals and informs that the </w:t>
            </w:r>
            <w:r w:rsidR="001B7E77" w:rsidRPr="00B92BFB">
              <w:rPr>
                <w:rFonts w:eastAsia="Times New Roman"/>
                <w:bCs/>
                <w:lang w:val="en-GB"/>
              </w:rPr>
              <w:t xml:space="preserve">there is no justification for the reasons to </w:t>
            </w:r>
            <w:r w:rsidR="00582561" w:rsidRPr="00B92BFB">
              <w:rPr>
                <w:rFonts w:eastAsia="Times New Roman"/>
                <w:bCs/>
                <w:lang w:val="en-GB"/>
              </w:rPr>
              <w:t>prolong the proposal submission term</w:t>
            </w:r>
            <w:r w:rsidR="00DD382D" w:rsidRPr="00B92BFB">
              <w:rPr>
                <w:rFonts w:eastAsia="Times New Roman"/>
                <w:bCs/>
                <w:lang w:val="en-GB"/>
              </w:rPr>
              <w:t xml:space="preserve"> and proposal submission term will not change.</w:t>
            </w:r>
          </w:p>
          <w:p w14:paraId="426B445E" w14:textId="06F4C847" w:rsidR="00DD382D" w:rsidRPr="00A871B7" w:rsidRDefault="00DD382D" w:rsidP="00E95B99">
            <w:pPr>
              <w:spacing w:before="60" w:after="60"/>
              <w:jc w:val="both"/>
              <w:rPr>
                <w:rFonts w:eastAsia="Times New Roman"/>
                <w:bCs/>
              </w:rPr>
            </w:pPr>
          </w:p>
        </w:tc>
      </w:tr>
    </w:tbl>
    <w:p w14:paraId="5CD6A91B" w14:textId="4801D01C" w:rsidR="008F50D5" w:rsidRDefault="008F50D5" w:rsidP="008F50D5">
      <w:pPr>
        <w:spacing w:after="0" w:line="240" w:lineRule="auto"/>
        <w:jc w:val="both"/>
        <w:rPr>
          <w:lang w:val="en-GB"/>
        </w:rPr>
      </w:pPr>
      <w:r>
        <w:rPr>
          <w:lang w:val="en-GB"/>
        </w:rPr>
        <w:t>Priority language for the answers- English.</w:t>
      </w:r>
    </w:p>
    <w:p w14:paraId="322269AB" w14:textId="77777777" w:rsidR="008F50D5" w:rsidRDefault="008F50D5" w:rsidP="008F50D5">
      <w:pPr>
        <w:spacing w:after="0" w:line="240" w:lineRule="auto"/>
        <w:jc w:val="both"/>
        <w:rPr>
          <w:lang w:val="en-GB"/>
        </w:rPr>
      </w:pPr>
    </w:p>
    <w:p w14:paraId="6D3C9E6F" w14:textId="77777777" w:rsidR="008F50D5" w:rsidRDefault="008F50D5" w:rsidP="008F50D5">
      <w:pPr>
        <w:spacing w:after="0" w:line="240" w:lineRule="auto"/>
        <w:jc w:val="both"/>
        <w:rPr>
          <w:lang w:val="en-US"/>
        </w:rPr>
      </w:pPr>
    </w:p>
    <w:p w14:paraId="4996F5F2" w14:textId="77777777" w:rsidR="008F50D5" w:rsidRPr="00C062C2" w:rsidRDefault="008F50D5" w:rsidP="008F50D5">
      <w:pPr>
        <w:spacing w:after="0" w:line="240" w:lineRule="auto"/>
        <w:jc w:val="both"/>
        <w:rPr>
          <w:lang w:val="en-US"/>
        </w:rPr>
      </w:pPr>
      <w:r w:rsidRPr="00C062C2">
        <w:rPr>
          <w:lang w:val="en-US"/>
        </w:rPr>
        <w:t>Sincerely,</w:t>
      </w:r>
    </w:p>
    <w:p w14:paraId="3F6614DD" w14:textId="77777777" w:rsidR="008F50D5" w:rsidRPr="00C062C2" w:rsidRDefault="008F50D5" w:rsidP="008F50D5">
      <w:pPr>
        <w:spacing w:after="0" w:line="24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99"/>
      </w:tblGrid>
      <w:tr w:rsidR="008F50D5" w:rsidRPr="00C062C2" w14:paraId="0CEC429C" w14:textId="77777777" w:rsidTr="00E95B99">
        <w:tc>
          <w:tcPr>
            <w:tcW w:w="4962" w:type="dxa"/>
          </w:tcPr>
          <w:p w14:paraId="4A3B34DB" w14:textId="77777777" w:rsidR="008F50D5" w:rsidRPr="00C062C2" w:rsidRDefault="008F50D5" w:rsidP="00E95B99">
            <w:pPr>
              <w:jc w:val="both"/>
              <w:rPr>
                <w:lang w:val="en-US"/>
              </w:rPr>
            </w:pPr>
            <w:r w:rsidRPr="00C062C2">
              <w:rPr>
                <w:rFonts w:eastAsia="Myriad Pro" w:cs="Myriad Pro"/>
                <w:shd w:val="clear" w:color="auto" w:fill="FFFFFF"/>
                <w:lang w:val="en-US"/>
              </w:rPr>
              <w:t xml:space="preserve">Procurement commission </w:t>
            </w:r>
            <w:r>
              <w:rPr>
                <w:rFonts w:eastAsia="Myriad Pro" w:cs="Myriad Pro"/>
                <w:shd w:val="clear" w:color="auto" w:fill="FFFFFF"/>
                <w:lang w:val="en-US"/>
              </w:rPr>
              <w:t>chairperson</w:t>
            </w:r>
          </w:p>
        </w:tc>
        <w:tc>
          <w:tcPr>
            <w:tcW w:w="4099" w:type="dxa"/>
          </w:tcPr>
          <w:p w14:paraId="5C6795D7" w14:textId="77777777" w:rsidR="008F50D5" w:rsidRPr="00C062C2" w:rsidRDefault="008F50D5" w:rsidP="00E95B99">
            <w:pPr>
              <w:jc w:val="right"/>
              <w:rPr>
                <w:lang w:val="en-US"/>
              </w:rPr>
            </w:pPr>
            <w:proofErr w:type="spellStart"/>
            <w:r>
              <w:rPr>
                <w:lang w:val="en-US"/>
              </w:rPr>
              <w:t>M.Jogi</w:t>
            </w:r>
            <w:proofErr w:type="spellEnd"/>
          </w:p>
        </w:tc>
      </w:tr>
    </w:tbl>
    <w:p w14:paraId="597DA8A7" w14:textId="77777777" w:rsidR="002833D6" w:rsidRPr="00464C76" w:rsidRDefault="002833D6" w:rsidP="004F1898"/>
    <w:p w14:paraId="146D0806" w14:textId="77777777" w:rsidR="00D8702B" w:rsidRDefault="00D8702B" w:rsidP="00B527B2">
      <w:pPr>
        <w:pStyle w:val="RBBodyletter"/>
        <w:jc w:val="center"/>
        <w:rPr>
          <w:i/>
          <w:iCs/>
          <w:color w:val="auto"/>
          <w:highlight w:val="yellow"/>
        </w:rPr>
      </w:pPr>
    </w:p>
    <w:p w14:paraId="503E4EC1" w14:textId="01601B96" w:rsidR="00B527B2" w:rsidRPr="00B63733" w:rsidRDefault="00B527B2" w:rsidP="00B527B2">
      <w:pPr>
        <w:jc w:val="center"/>
        <w:rPr>
          <w:i/>
          <w:iCs/>
          <w:sz w:val="21"/>
          <w:szCs w:val="21"/>
          <w:lang w:val="en-US"/>
        </w:rPr>
      </w:pPr>
      <w:r w:rsidRPr="00B63733">
        <w:rPr>
          <w:i/>
          <w:iCs/>
          <w:sz w:val="21"/>
          <w:szCs w:val="21"/>
          <w:lang w:val="en-US"/>
        </w:rPr>
        <w:t>THIS DOCUMENT IS SIGNED ELECTRONICALLY WITH A QUALIFIED ELECTRONIC SIGNATURE</w:t>
      </w:r>
    </w:p>
    <w:p w14:paraId="6F4D6885" w14:textId="02F6C709" w:rsidR="00B527B2" w:rsidRDefault="00B527B2" w:rsidP="00B527B2">
      <w:pPr>
        <w:jc w:val="center"/>
      </w:pPr>
      <w:r w:rsidRPr="00B63733">
        <w:rPr>
          <w:i/>
          <w:iCs/>
          <w:sz w:val="21"/>
          <w:szCs w:val="21"/>
          <w:lang w:val="en-US"/>
        </w:rPr>
        <w:t>AND CONTAINS A TIME STAMP</w:t>
      </w:r>
    </w:p>
    <w:p w14:paraId="0A6A136A" w14:textId="77777777" w:rsidR="00FD5BF3" w:rsidRDefault="00FD5BF3" w:rsidP="00FD5BF3">
      <w:pPr>
        <w:pStyle w:val="RBBodyletter"/>
      </w:pPr>
    </w:p>
    <w:p w14:paraId="22778348" w14:textId="04F27569" w:rsidR="0066467A" w:rsidRDefault="0066467A" w:rsidP="00FD5BF3">
      <w:pPr>
        <w:pStyle w:val="RBBodyletter"/>
      </w:pPr>
    </w:p>
    <w:p w14:paraId="648EE707" w14:textId="5941E5FC" w:rsidR="00F36DFA" w:rsidRDefault="00F36DFA" w:rsidP="00FD5BF3">
      <w:pPr>
        <w:pStyle w:val="RBBodyletter"/>
      </w:pPr>
    </w:p>
    <w:p w14:paraId="5020EAB5" w14:textId="77777777" w:rsidR="00F36DFA" w:rsidRDefault="00F36DFA" w:rsidP="00FD5BF3">
      <w:pPr>
        <w:pStyle w:val="RBBodyletter"/>
      </w:pPr>
    </w:p>
    <w:p w14:paraId="18103C42" w14:textId="77777777" w:rsidR="00DB17C6" w:rsidRPr="00DB17C6" w:rsidRDefault="00DB17C6" w:rsidP="006C54F6">
      <w:pPr>
        <w:rPr>
          <w:lang w:val="en-US"/>
        </w:rPr>
      </w:pPr>
    </w:p>
    <w:sectPr w:rsidR="00DB17C6" w:rsidRPr="00DB17C6" w:rsidSect="00DB17C6">
      <w:headerReference w:type="default" r:id="rId11"/>
      <w:footerReference w:type="default" r:id="rId12"/>
      <w:headerReference w:type="first" r:id="rId13"/>
      <w:footerReference w:type="first" r:id="rId14"/>
      <w:pgSz w:w="11906" w:h="16838" w:code="9"/>
      <w:pgMar w:top="1134" w:right="1134" w:bottom="1701" w:left="1701" w:header="1134" w:footer="4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DA463" w14:textId="77777777" w:rsidR="00E95B99" w:rsidRDefault="00E95B99" w:rsidP="002833D6">
      <w:pPr>
        <w:spacing w:after="0" w:line="240" w:lineRule="auto"/>
      </w:pPr>
      <w:r>
        <w:separator/>
      </w:r>
    </w:p>
  </w:endnote>
  <w:endnote w:type="continuationSeparator" w:id="0">
    <w:p w14:paraId="5F465019" w14:textId="77777777" w:rsidR="00E95B99" w:rsidRDefault="00E95B99" w:rsidP="002833D6">
      <w:pPr>
        <w:spacing w:after="0" w:line="240" w:lineRule="auto"/>
      </w:pPr>
      <w:r>
        <w:continuationSeparator/>
      </w:r>
    </w:p>
  </w:endnote>
  <w:endnote w:type="continuationNotice" w:id="1">
    <w:p w14:paraId="512E3353" w14:textId="77777777" w:rsidR="00E95B99" w:rsidRDefault="00E95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6752" w:type="dxa"/>
      <w:tblLook w:val="04A0" w:firstRow="1" w:lastRow="0" w:firstColumn="1" w:lastColumn="0" w:noHBand="0" w:noVBand="1"/>
    </w:tblPr>
    <w:tblGrid>
      <w:gridCol w:w="3252"/>
      <w:gridCol w:w="3252"/>
      <w:gridCol w:w="248"/>
    </w:tblGrid>
    <w:tr w:rsidR="00DB17C6" w:rsidRPr="00FA200B" w14:paraId="76123E80" w14:textId="77777777" w:rsidTr="00E95B99">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2" w:type="dxa"/>
        </w:tcPr>
        <w:p w14:paraId="2C7985CB" w14:textId="7494854A" w:rsidR="00DB17C6" w:rsidRPr="00FA200B" w:rsidRDefault="00DB17C6" w:rsidP="00DB17C6">
          <w:pPr>
            <w:pStyle w:val="RBminitext"/>
            <w:jc w:val="left"/>
            <w:rPr>
              <w:b w:val="0"/>
              <w:bCs w:val="0"/>
              <w:i w:val="0"/>
              <w:iCs w:val="0"/>
            </w:rPr>
          </w:pPr>
        </w:p>
      </w:tc>
      <w:tc>
        <w:tcPr>
          <w:tcW w:w="3252" w:type="dxa"/>
        </w:tcPr>
        <w:p w14:paraId="4D0E8593" w14:textId="77777777"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sz w:val="20"/>
              <w:szCs w:val="20"/>
              <w:lang w:val="en-GB"/>
            </w:rPr>
          </w:pPr>
        </w:p>
        <w:p w14:paraId="41274785" w14:textId="77777777"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rPr>
          </w:pPr>
        </w:p>
      </w:tc>
      <w:tc>
        <w:tcPr>
          <w:tcW w:w="248" w:type="dxa"/>
        </w:tcPr>
        <w:p w14:paraId="1AEFA178" w14:textId="77777777" w:rsidR="00DB17C6" w:rsidRPr="00FA200B" w:rsidRDefault="00DB17C6" w:rsidP="00DB17C6">
          <w:pPr>
            <w:pStyle w:val="RBminitext"/>
            <w:cnfStyle w:val="100000000000" w:firstRow="1" w:lastRow="0" w:firstColumn="0" w:lastColumn="0" w:oddVBand="0" w:evenVBand="0" w:oddHBand="0" w:evenHBand="0" w:firstRowFirstColumn="0" w:firstRowLastColumn="0" w:lastRowFirstColumn="0" w:lastRowLastColumn="0"/>
            <w:rPr>
              <w:b w:val="0"/>
              <w:bCs w:val="0"/>
              <w:i w:val="0"/>
              <w:iCs w:val="0"/>
            </w:rPr>
          </w:pPr>
        </w:p>
      </w:tc>
    </w:tr>
  </w:tbl>
  <w:p w14:paraId="4B001732" w14:textId="1777B5D1" w:rsidR="0021090E" w:rsidRPr="00FD5BF3" w:rsidRDefault="00E95B99" w:rsidP="00DB17C6">
    <w:pPr>
      <w:pStyle w:val="RBBodyletter"/>
      <w:jc w:val="right"/>
      <w:rPr>
        <w:sz w:val="20"/>
        <w:szCs w:val="20"/>
      </w:rPr>
    </w:pPr>
    <w:sdt>
      <w:sdtPr>
        <w:rPr>
          <w:sz w:val="20"/>
          <w:szCs w:val="20"/>
        </w:rPr>
        <w:id w:val="-1232530559"/>
        <w:docPartObj>
          <w:docPartGallery w:val="Page Numbers (Bottom of Page)"/>
          <w:docPartUnique/>
        </w:docPartObj>
      </w:sdtPr>
      <w:sdtContent>
        <w:sdt>
          <w:sdtPr>
            <w:rPr>
              <w:sz w:val="20"/>
              <w:szCs w:val="20"/>
            </w:rPr>
            <w:id w:val="-1910684512"/>
            <w:docPartObj>
              <w:docPartGallery w:val="Page Numbers (Top of Page)"/>
              <w:docPartUnique/>
            </w:docPartObj>
          </w:sdtPr>
          <w:sdtContent>
            <w:r w:rsidR="00DB17C6" w:rsidRPr="00FD5BF3">
              <w:rPr>
                <w:sz w:val="20"/>
                <w:szCs w:val="20"/>
              </w:rPr>
              <w:t xml:space="preserve">Page </w:t>
            </w:r>
            <w:r w:rsidR="00DB17C6" w:rsidRPr="00FD5BF3">
              <w:rPr>
                <w:sz w:val="20"/>
                <w:szCs w:val="20"/>
              </w:rPr>
              <w:fldChar w:fldCharType="begin"/>
            </w:r>
            <w:r w:rsidR="00DB17C6" w:rsidRPr="00FD5BF3">
              <w:rPr>
                <w:sz w:val="20"/>
                <w:szCs w:val="20"/>
              </w:rPr>
              <w:instrText xml:space="preserve"> PAGE </w:instrText>
            </w:r>
            <w:r w:rsidR="00DB17C6" w:rsidRPr="00FD5BF3">
              <w:rPr>
                <w:sz w:val="20"/>
                <w:szCs w:val="20"/>
              </w:rPr>
              <w:fldChar w:fldCharType="separate"/>
            </w:r>
            <w:r w:rsidR="00DB17C6">
              <w:rPr>
                <w:sz w:val="20"/>
                <w:szCs w:val="20"/>
              </w:rPr>
              <w:t>1</w:t>
            </w:r>
            <w:r w:rsidR="00DB17C6" w:rsidRPr="00FD5BF3">
              <w:rPr>
                <w:sz w:val="20"/>
                <w:szCs w:val="20"/>
              </w:rPr>
              <w:fldChar w:fldCharType="end"/>
            </w:r>
            <w:r w:rsidR="00DB17C6" w:rsidRPr="00FD5BF3">
              <w:rPr>
                <w:sz w:val="20"/>
                <w:szCs w:val="20"/>
              </w:rPr>
              <w:t xml:space="preserve"> of </w:t>
            </w:r>
            <w:r w:rsidR="00DB17C6" w:rsidRPr="00FD5BF3">
              <w:rPr>
                <w:sz w:val="20"/>
                <w:szCs w:val="20"/>
              </w:rPr>
              <w:fldChar w:fldCharType="begin"/>
            </w:r>
            <w:r w:rsidR="00DB17C6" w:rsidRPr="00FD5BF3">
              <w:rPr>
                <w:sz w:val="20"/>
                <w:szCs w:val="20"/>
              </w:rPr>
              <w:instrText xml:space="preserve"> NUMPAGES  </w:instrText>
            </w:r>
            <w:r w:rsidR="00DB17C6" w:rsidRPr="00FD5BF3">
              <w:rPr>
                <w:sz w:val="20"/>
                <w:szCs w:val="20"/>
              </w:rPr>
              <w:fldChar w:fldCharType="separate"/>
            </w:r>
            <w:r w:rsidR="00DB17C6">
              <w:rPr>
                <w:sz w:val="20"/>
                <w:szCs w:val="20"/>
              </w:rPr>
              <w:t>2</w:t>
            </w:r>
            <w:r w:rsidR="00DB17C6" w:rsidRPr="00FD5BF3">
              <w:rPr>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6752" w:type="dxa"/>
      <w:tblLook w:val="04A0" w:firstRow="1" w:lastRow="0" w:firstColumn="1" w:lastColumn="0" w:noHBand="0" w:noVBand="1"/>
    </w:tblPr>
    <w:tblGrid>
      <w:gridCol w:w="3252"/>
      <w:gridCol w:w="3252"/>
      <w:gridCol w:w="248"/>
    </w:tblGrid>
    <w:tr w:rsidR="00DB17C6" w:rsidRPr="00FA200B" w14:paraId="55AFCCC9" w14:textId="77777777" w:rsidTr="00E95B99">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2" w:type="dxa"/>
        </w:tcPr>
        <w:p w14:paraId="6F9BC814" w14:textId="0F0918D5" w:rsidR="00DB17C6" w:rsidRPr="00FA200B" w:rsidRDefault="00DB17C6" w:rsidP="00DB17C6">
          <w:pPr>
            <w:pStyle w:val="RBminitext"/>
            <w:jc w:val="left"/>
            <w:rPr>
              <w:b w:val="0"/>
              <w:bCs w:val="0"/>
              <w:i w:val="0"/>
              <w:iCs w:val="0"/>
            </w:rPr>
          </w:pPr>
          <w:bookmarkStart w:id="0" w:name="_Hlk96334024"/>
        </w:p>
      </w:tc>
      <w:tc>
        <w:tcPr>
          <w:tcW w:w="3252" w:type="dxa"/>
        </w:tcPr>
        <w:p w14:paraId="4657908A" w14:textId="1A32E356"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sz w:val="20"/>
              <w:szCs w:val="20"/>
              <w:lang w:val="en-GB"/>
            </w:rPr>
          </w:pPr>
        </w:p>
        <w:p w14:paraId="2850DFEA" w14:textId="77777777"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rPr>
          </w:pPr>
        </w:p>
      </w:tc>
      <w:tc>
        <w:tcPr>
          <w:tcW w:w="248" w:type="dxa"/>
        </w:tcPr>
        <w:p w14:paraId="41AAEF6C" w14:textId="77777777" w:rsidR="00DB17C6" w:rsidRPr="00FA200B" w:rsidRDefault="00DB17C6" w:rsidP="00DB17C6">
          <w:pPr>
            <w:pStyle w:val="RBminitext"/>
            <w:cnfStyle w:val="100000000000" w:firstRow="1" w:lastRow="0" w:firstColumn="0" w:lastColumn="0" w:oddVBand="0" w:evenVBand="0" w:oddHBand="0" w:evenHBand="0" w:firstRowFirstColumn="0" w:firstRowLastColumn="0" w:lastRowFirstColumn="0" w:lastRowLastColumn="0"/>
            <w:rPr>
              <w:b w:val="0"/>
              <w:bCs w:val="0"/>
              <w:i w:val="0"/>
              <w:iCs w:val="0"/>
            </w:rPr>
          </w:pPr>
        </w:p>
      </w:tc>
    </w:tr>
  </w:tbl>
  <w:bookmarkEnd w:id="0"/>
  <w:p w14:paraId="1D3A2C9D" w14:textId="6B0A4B2A" w:rsidR="0011245E" w:rsidRPr="00F36DFA" w:rsidRDefault="00E95B99" w:rsidP="00F36DFA">
    <w:pPr>
      <w:pStyle w:val="RBBodyletter"/>
      <w:jc w:val="right"/>
      <w:rPr>
        <w:sz w:val="20"/>
        <w:szCs w:val="20"/>
      </w:rPr>
    </w:pPr>
    <w:sdt>
      <w:sdtPr>
        <w:rPr>
          <w:sz w:val="20"/>
          <w:szCs w:val="20"/>
        </w:rPr>
        <w:id w:val="-1675409818"/>
        <w:docPartObj>
          <w:docPartGallery w:val="Page Numbers (Bottom of Page)"/>
          <w:docPartUnique/>
        </w:docPartObj>
      </w:sdtPr>
      <w:sdtContent>
        <w:sdt>
          <w:sdtPr>
            <w:rPr>
              <w:sz w:val="20"/>
              <w:szCs w:val="20"/>
            </w:rPr>
            <w:id w:val="414287431"/>
            <w:docPartObj>
              <w:docPartGallery w:val="Page Numbers (Top of Page)"/>
              <w:docPartUnique/>
            </w:docPartObj>
          </w:sdtPr>
          <w:sdtContent>
            <w:r w:rsidR="00DB17C6" w:rsidRPr="00FD5BF3">
              <w:rPr>
                <w:sz w:val="20"/>
                <w:szCs w:val="20"/>
              </w:rPr>
              <w:t xml:space="preserve">Page </w:t>
            </w:r>
            <w:r w:rsidR="00DB17C6" w:rsidRPr="00FD5BF3">
              <w:rPr>
                <w:sz w:val="20"/>
                <w:szCs w:val="20"/>
              </w:rPr>
              <w:fldChar w:fldCharType="begin"/>
            </w:r>
            <w:r w:rsidR="00DB17C6" w:rsidRPr="00FD5BF3">
              <w:rPr>
                <w:sz w:val="20"/>
                <w:szCs w:val="20"/>
              </w:rPr>
              <w:instrText xml:space="preserve"> PAGE </w:instrText>
            </w:r>
            <w:r w:rsidR="00DB17C6" w:rsidRPr="00FD5BF3">
              <w:rPr>
                <w:sz w:val="20"/>
                <w:szCs w:val="20"/>
              </w:rPr>
              <w:fldChar w:fldCharType="separate"/>
            </w:r>
            <w:r w:rsidR="00DB17C6">
              <w:rPr>
                <w:sz w:val="20"/>
                <w:szCs w:val="20"/>
              </w:rPr>
              <w:t>1</w:t>
            </w:r>
            <w:r w:rsidR="00DB17C6" w:rsidRPr="00FD5BF3">
              <w:rPr>
                <w:sz w:val="20"/>
                <w:szCs w:val="20"/>
              </w:rPr>
              <w:fldChar w:fldCharType="end"/>
            </w:r>
            <w:r w:rsidR="00DB17C6" w:rsidRPr="00FD5BF3">
              <w:rPr>
                <w:sz w:val="20"/>
                <w:szCs w:val="20"/>
              </w:rPr>
              <w:t xml:space="preserve"> of </w:t>
            </w:r>
            <w:r w:rsidR="00DB17C6" w:rsidRPr="00FD5BF3">
              <w:rPr>
                <w:sz w:val="20"/>
                <w:szCs w:val="20"/>
              </w:rPr>
              <w:fldChar w:fldCharType="begin"/>
            </w:r>
            <w:r w:rsidR="00DB17C6" w:rsidRPr="00FD5BF3">
              <w:rPr>
                <w:sz w:val="20"/>
                <w:szCs w:val="20"/>
              </w:rPr>
              <w:instrText xml:space="preserve"> NUMPAGES  </w:instrText>
            </w:r>
            <w:r w:rsidR="00DB17C6" w:rsidRPr="00FD5BF3">
              <w:rPr>
                <w:sz w:val="20"/>
                <w:szCs w:val="20"/>
              </w:rPr>
              <w:fldChar w:fldCharType="separate"/>
            </w:r>
            <w:r w:rsidR="00DB17C6">
              <w:rPr>
                <w:sz w:val="20"/>
                <w:szCs w:val="20"/>
              </w:rPr>
              <w:t>2</w:t>
            </w:r>
            <w:r w:rsidR="00DB17C6" w:rsidRPr="00FD5BF3">
              <w:rPr>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ECFB" w14:textId="77777777" w:rsidR="00E95B99" w:rsidRDefault="00E95B99" w:rsidP="002833D6">
      <w:pPr>
        <w:spacing w:after="0" w:line="240" w:lineRule="auto"/>
      </w:pPr>
      <w:r>
        <w:separator/>
      </w:r>
    </w:p>
  </w:footnote>
  <w:footnote w:type="continuationSeparator" w:id="0">
    <w:p w14:paraId="7F4B93DB" w14:textId="77777777" w:rsidR="00E95B99" w:rsidRDefault="00E95B99" w:rsidP="002833D6">
      <w:pPr>
        <w:spacing w:after="0" w:line="240" w:lineRule="auto"/>
      </w:pPr>
      <w:r>
        <w:continuationSeparator/>
      </w:r>
    </w:p>
  </w:footnote>
  <w:footnote w:type="continuationNotice" w:id="1">
    <w:p w14:paraId="31E08C1A" w14:textId="77777777" w:rsidR="00E95B99" w:rsidRDefault="00E95B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CD02" w14:textId="46802937" w:rsidR="00DB17C6" w:rsidRDefault="00DB17C6" w:rsidP="00DB17C6">
    <w:pPr>
      <w:pStyle w:val="RBdokumentanosaukums"/>
      <w:ind w:left="0" w:firstLine="567"/>
    </w:pPr>
    <w:r>
      <w:rPr>
        <w:color w:val="2B579A"/>
        <w:shd w:val="clear" w:color="auto" w:fill="E6E6E6"/>
        <w:lang w:val="lv-LV" w:eastAsia="lv-LV"/>
      </w:rPr>
      <w:drawing>
        <wp:anchor distT="0" distB="0" distL="114300" distR="114300" simplePos="0" relativeHeight="251658241" behindDoc="0" locked="0" layoutInCell="1" allowOverlap="1" wp14:anchorId="44E7DC2E" wp14:editId="3ADBD25F">
          <wp:simplePos x="0" y="0"/>
          <wp:positionH relativeFrom="margin">
            <wp:posOffset>-38100</wp:posOffset>
          </wp:positionH>
          <wp:positionV relativeFrom="paragraph">
            <wp:posOffset>-2540</wp:posOffset>
          </wp:positionV>
          <wp:extent cx="914400" cy="304800"/>
          <wp:effectExtent l="0" t="0" r="0" b="0"/>
          <wp:wrapNone/>
          <wp:docPr id="16" name="Picture 1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Outgoing Correspondence </w:t>
    </w:r>
  </w:p>
  <w:p w14:paraId="63E05B21" w14:textId="3C34C348" w:rsidR="00E07215" w:rsidRPr="00E07215" w:rsidRDefault="00E07215" w:rsidP="00E07215">
    <w:pPr>
      <w:pStyle w:val="RBdokumentanosaukums"/>
    </w:pPr>
    <w:r w:rsidRPr="00E07215">
      <w:rPr>
        <w:b/>
        <w:bCs/>
        <w:lang w:val="lv-LV"/>
      </w:rPr>
      <w:t>RBCR-PRC-COM_LR-Z-00044</w:t>
    </w:r>
  </w:p>
  <w:p w14:paraId="0B448B0A" w14:textId="1E66ABFA" w:rsidR="00DB17C6" w:rsidRDefault="00DB17C6" w:rsidP="00E07215">
    <w:pPr>
      <w:pStyle w:val="RBdokumentanosaukums"/>
      <w:ind w:left="0"/>
      <w:jc w:val="left"/>
    </w:pPr>
  </w:p>
  <w:p w14:paraId="3F770439" w14:textId="359C4141" w:rsidR="00DB17C6" w:rsidRDefault="00DB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7F92" w14:textId="72B7D0A9" w:rsidR="00DB17C6" w:rsidRDefault="00DB17C6" w:rsidP="00DB17C6">
    <w:pPr>
      <w:pStyle w:val="RBdokumentanosaukums"/>
      <w:ind w:left="0" w:firstLine="567"/>
    </w:pPr>
    <w:r>
      <w:drawing>
        <wp:anchor distT="0" distB="0" distL="114300" distR="114300" simplePos="0" relativeHeight="251658240" behindDoc="0" locked="0" layoutInCell="1" allowOverlap="1" wp14:anchorId="6F9EDD8A" wp14:editId="31727541">
          <wp:simplePos x="0" y="0"/>
          <wp:positionH relativeFrom="margin">
            <wp:align>left</wp:align>
          </wp:positionH>
          <wp:positionV relativeFrom="paragraph">
            <wp:posOffset>12065</wp:posOffset>
          </wp:positionV>
          <wp:extent cx="1597660" cy="531495"/>
          <wp:effectExtent l="0" t="0" r="2540" b="1905"/>
          <wp:wrapNone/>
          <wp:docPr id="17" name="Picture 17"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Outgoing Correspondence </w:t>
    </w:r>
  </w:p>
  <w:p w14:paraId="29CFC0AD" w14:textId="3294AE18" w:rsidR="00DB17C6" w:rsidRPr="000061B4" w:rsidRDefault="000061B4" w:rsidP="000061B4">
    <w:pPr>
      <w:pStyle w:val="RBdokumentanosaukums"/>
      <w:ind w:left="0"/>
    </w:pPr>
    <w:r w:rsidRPr="000061B4">
      <w:rPr>
        <w:b/>
        <w:bCs/>
        <w:lang w:val="lv-LV"/>
      </w:rPr>
      <w:t>RBCR-PRC-COM_LR-Z-00044</w:t>
    </w:r>
  </w:p>
  <w:p w14:paraId="14379768" w14:textId="252760C3" w:rsidR="002833D6" w:rsidRPr="002B2005" w:rsidRDefault="002833D6" w:rsidP="004C2D46">
    <w:pPr>
      <w:pStyle w:val="Header1"/>
      <w:ind w:right="-1"/>
      <w:jc w:val="right"/>
      <w:rPr>
        <w:i w:val="0"/>
      </w:rPr>
    </w:pPr>
    <w:r w:rsidRPr="002B2005">
      <w:rPr>
        <w:i w:val="0"/>
      </w:rPr>
      <w:t>RB Rail AS</w:t>
    </w:r>
  </w:p>
  <w:p w14:paraId="680D866B" w14:textId="77777777" w:rsidR="004C2D46" w:rsidRDefault="002833D6" w:rsidP="004C2D46">
    <w:pPr>
      <w:pStyle w:val="Header1"/>
      <w:ind w:right="-1"/>
      <w:jc w:val="right"/>
      <w:rPr>
        <w:i w:val="0"/>
      </w:rPr>
    </w:pPr>
    <w:r w:rsidRPr="001500DB">
      <w:rPr>
        <w:i w:val="0"/>
      </w:rPr>
      <w:t>Reg. No 40103845025</w:t>
    </w:r>
  </w:p>
  <w:p w14:paraId="3E10FE95" w14:textId="6A36DD18" w:rsidR="002833D6" w:rsidRDefault="00F41E8A" w:rsidP="004C2D46">
    <w:pPr>
      <w:pStyle w:val="Header1"/>
      <w:ind w:right="-1"/>
      <w:jc w:val="right"/>
      <w:rPr>
        <w:i w:val="0"/>
      </w:rPr>
    </w:pPr>
    <w:r>
      <w:rPr>
        <w:i w:val="0"/>
      </w:rPr>
      <w:t>Satekles iela 2B</w:t>
    </w:r>
  </w:p>
  <w:p w14:paraId="194D53D1" w14:textId="29C5328F" w:rsidR="004C2D46" w:rsidRDefault="002833D6" w:rsidP="004C2D46">
    <w:pPr>
      <w:pStyle w:val="Header1"/>
      <w:ind w:right="-1"/>
      <w:jc w:val="right"/>
      <w:rPr>
        <w:i w:val="0"/>
      </w:rPr>
    </w:pPr>
    <w:r>
      <w:rPr>
        <w:i w:val="0"/>
      </w:rPr>
      <w:t>Riga, LV-10</w:t>
    </w:r>
    <w:r w:rsidR="00F41E8A">
      <w:rPr>
        <w:i w:val="0"/>
      </w:rPr>
      <w:t>50</w:t>
    </w:r>
    <w:r>
      <w:rPr>
        <w:i w:val="0"/>
      </w:rPr>
      <w:t>, Latvia</w:t>
    </w:r>
  </w:p>
  <w:p w14:paraId="5206A864" w14:textId="158DA801" w:rsidR="004C2D46" w:rsidRPr="006A057E" w:rsidRDefault="002833D6" w:rsidP="004C2D46">
    <w:pPr>
      <w:pStyle w:val="Header1"/>
      <w:ind w:right="-1"/>
      <w:jc w:val="right"/>
      <w:rPr>
        <w:i w:val="0"/>
        <w:lang w:val="fr-FR"/>
      </w:rPr>
    </w:pPr>
    <w:r w:rsidRPr="006A057E">
      <w:rPr>
        <w:i w:val="0"/>
        <w:lang w:val="fr-FR"/>
      </w:rPr>
      <w:t>Phone: +371 66 967</w:t>
    </w:r>
    <w:r w:rsidR="004C2D46" w:rsidRPr="006A057E">
      <w:rPr>
        <w:i w:val="0"/>
        <w:lang w:val="fr-FR"/>
      </w:rPr>
      <w:t> </w:t>
    </w:r>
    <w:r w:rsidRPr="006A057E">
      <w:rPr>
        <w:i w:val="0"/>
        <w:lang w:val="fr-FR"/>
      </w:rPr>
      <w:t>171</w:t>
    </w:r>
  </w:p>
  <w:p w14:paraId="7F932CAF" w14:textId="77777777" w:rsidR="004C2D46" w:rsidRPr="006A057E" w:rsidRDefault="002833D6" w:rsidP="004C2D46">
    <w:pPr>
      <w:pStyle w:val="Header1"/>
      <w:ind w:right="-1"/>
      <w:jc w:val="right"/>
      <w:rPr>
        <w:i w:val="0"/>
        <w:lang w:val="fr-FR"/>
      </w:rPr>
    </w:pPr>
    <w:r w:rsidRPr="006A057E">
      <w:rPr>
        <w:i w:val="0"/>
        <w:lang w:val="fr-FR"/>
      </w:rPr>
      <w:t xml:space="preserve">e-mail: </w:t>
    </w:r>
    <w:hyperlink r:id="rId2" w:history="1">
      <w:r w:rsidRPr="006A057E">
        <w:rPr>
          <w:rStyle w:val="Hyperlink"/>
          <w:i w:val="0"/>
          <w:lang w:val="fr-FR"/>
        </w:rPr>
        <w:t>info@railbaltica.org</w:t>
      </w:r>
    </w:hyperlink>
  </w:p>
  <w:p w14:paraId="0D5705F4" w14:textId="7E858E82" w:rsidR="002833D6" w:rsidRDefault="00903157" w:rsidP="004C2D46">
    <w:pPr>
      <w:pStyle w:val="Header1"/>
      <w:ind w:right="-1"/>
      <w:jc w:val="right"/>
      <w:rPr>
        <w:i w:val="0"/>
      </w:rPr>
    </w:pPr>
    <w:hyperlink r:id="rId3" w:history="1">
      <w:r w:rsidR="00B56C4D" w:rsidRPr="00342E0C">
        <w:rPr>
          <w:rStyle w:val="Hyperlink"/>
          <w:i w:val="0"/>
        </w:rPr>
        <w:t>www.railbaltica.org</w:t>
      </w:r>
    </w:hyperlink>
  </w:p>
  <w:p w14:paraId="59ACDA07" w14:textId="64B9000B" w:rsidR="00B56C4D" w:rsidRDefault="00B56C4D" w:rsidP="004C2D46">
    <w:pPr>
      <w:pStyle w:val="Header1"/>
      <w:ind w:right="-1"/>
      <w:jc w:val="right"/>
      <w:rPr>
        <w:i w:val="0"/>
      </w:rPr>
    </w:pPr>
  </w:p>
  <w:p w14:paraId="284398B7" w14:textId="44465B7A" w:rsidR="00B56C4D" w:rsidRDefault="00B56C4D" w:rsidP="004C2D46">
    <w:pPr>
      <w:pStyle w:val="Header1"/>
      <w:ind w:right="-1"/>
      <w:jc w:val="right"/>
      <w:rPr>
        <w:i w:val="0"/>
      </w:rPr>
    </w:pPr>
  </w:p>
  <w:p w14:paraId="5A303D99" w14:textId="07B7EE1A" w:rsidR="00B56C4D" w:rsidRDefault="00B56C4D" w:rsidP="004C2D46">
    <w:pPr>
      <w:pStyle w:val="Header1"/>
      <w:ind w:right="-1"/>
      <w:jc w:val="right"/>
      <w:rPr>
        <w:i w:val="0"/>
      </w:rPr>
    </w:pPr>
  </w:p>
  <w:p w14:paraId="53CD3B0F" w14:textId="77777777" w:rsidR="00B56C4D" w:rsidRDefault="00B56C4D" w:rsidP="004F1898">
    <w:proofErr w:type="spellStart"/>
    <w:r>
      <w:t>Riga</w:t>
    </w:r>
    <w:proofErr w:type="spellEnd"/>
  </w:p>
  <w:p w14:paraId="0D35F5DC" w14:textId="2C782AE9" w:rsidR="009C6E3E" w:rsidRPr="00CE2A46" w:rsidRDefault="00CE2A46" w:rsidP="004F1898">
    <w:pPr>
      <w:rPr>
        <w:lang w:val="en-GB"/>
      </w:rPr>
    </w:pPr>
    <w:r w:rsidRPr="00C84E39">
      <w:rPr>
        <w:sz w:val="20"/>
        <w:szCs w:val="20"/>
        <w:lang w:val="en-GB"/>
      </w:rPr>
      <w:t>Date of the document is the date of the time stamp of the last enclosed qualified electronic signature</w:t>
    </w:r>
  </w:p>
  <w:p w14:paraId="363614EB" w14:textId="232CEABC" w:rsidR="00B56C4D" w:rsidRPr="002833D6" w:rsidRDefault="00B56C4D" w:rsidP="004F1898">
    <w:pPr>
      <w:rPr>
        <w:i/>
      </w:rPr>
    </w:pPr>
    <w:proofErr w:type="spellStart"/>
    <w:r w:rsidRPr="001500DB">
      <w:t>Our</w:t>
    </w:r>
    <w:proofErr w:type="spellEnd"/>
    <w:r w:rsidRPr="001500DB">
      <w:t xml:space="preserve"> </w:t>
    </w:r>
    <w:proofErr w:type="spellStart"/>
    <w:r w:rsidRPr="001500DB">
      <w:t>Ref</w:t>
    </w:r>
    <w:proofErr w:type="spellEnd"/>
    <w:r w:rsidRPr="001500DB">
      <w:t>:</w:t>
    </w:r>
    <w:r>
      <w:t xml:space="preserve"> 1.13p/LV-2023-23</w:t>
    </w:r>
    <w:r w:rsidRPr="001500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03"/>
    <w:rsid w:val="000061B4"/>
    <w:rsid w:val="0001060F"/>
    <w:rsid w:val="0001624E"/>
    <w:rsid w:val="000276FF"/>
    <w:rsid w:val="00083B1E"/>
    <w:rsid w:val="0008548A"/>
    <w:rsid w:val="00101EA6"/>
    <w:rsid w:val="0011245E"/>
    <w:rsid w:val="00142C8A"/>
    <w:rsid w:val="001506E9"/>
    <w:rsid w:val="00154C4F"/>
    <w:rsid w:val="001B3D4D"/>
    <w:rsid w:val="001B7E77"/>
    <w:rsid w:val="001E1B75"/>
    <w:rsid w:val="0021090E"/>
    <w:rsid w:val="00273252"/>
    <w:rsid w:val="002833D6"/>
    <w:rsid w:val="00294F56"/>
    <w:rsid w:val="002A435C"/>
    <w:rsid w:val="002A7EFA"/>
    <w:rsid w:val="002C1B53"/>
    <w:rsid w:val="002D3690"/>
    <w:rsid w:val="002E0A2C"/>
    <w:rsid w:val="002F194D"/>
    <w:rsid w:val="00325A03"/>
    <w:rsid w:val="00366D07"/>
    <w:rsid w:val="003B156E"/>
    <w:rsid w:val="003D09AE"/>
    <w:rsid w:val="004220BD"/>
    <w:rsid w:val="0044134A"/>
    <w:rsid w:val="00464C76"/>
    <w:rsid w:val="00471311"/>
    <w:rsid w:val="00492226"/>
    <w:rsid w:val="004B48A4"/>
    <w:rsid w:val="004C2D46"/>
    <w:rsid w:val="004D6311"/>
    <w:rsid w:val="004E0905"/>
    <w:rsid w:val="004F1898"/>
    <w:rsid w:val="0050305B"/>
    <w:rsid w:val="0050598D"/>
    <w:rsid w:val="005076BF"/>
    <w:rsid w:val="00512880"/>
    <w:rsid w:val="0051460C"/>
    <w:rsid w:val="00563124"/>
    <w:rsid w:val="00582561"/>
    <w:rsid w:val="005A1DC3"/>
    <w:rsid w:val="005A6A84"/>
    <w:rsid w:val="00642FEB"/>
    <w:rsid w:val="006615F5"/>
    <w:rsid w:val="0066467A"/>
    <w:rsid w:val="00683EC8"/>
    <w:rsid w:val="0068535E"/>
    <w:rsid w:val="00692FD7"/>
    <w:rsid w:val="006A057E"/>
    <w:rsid w:val="006C2AEB"/>
    <w:rsid w:val="006C54F6"/>
    <w:rsid w:val="006F5BD4"/>
    <w:rsid w:val="00750E16"/>
    <w:rsid w:val="00770D82"/>
    <w:rsid w:val="00777100"/>
    <w:rsid w:val="007A3C97"/>
    <w:rsid w:val="007B6923"/>
    <w:rsid w:val="00835D2E"/>
    <w:rsid w:val="00863476"/>
    <w:rsid w:val="00866A3B"/>
    <w:rsid w:val="0087189C"/>
    <w:rsid w:val="00876256"/>
    <w:rsid w:val="00877A08"/>
    <w:rsid w:val="008A3558"/>
    <w:rsid w:val="008A7986"/>
    <w:rsid w:val="008F50D5"/>
    <w:rsid w:val="00903157"/>
    <w:rsid w:val="00956A93"/>
    <w:rsid w:val="00965AFB"/>
    <w:rsid w:val="0098520A"/>
    <w:rsid w:val="009A55A0"/>
    <w:rsid w:val="009A6854"/>
    <w:rsid w:val="009C6E3E"/>
    <w:rsid w:val="009E2BD8"/>
    <w:rsid w:val="009F1F1C"/>
    <w:rsid w:val="00A715E8"/>
    <w:rsid w:val="00A84722"/>
    <w:rsid w:val="00B137C6"/>
    <w:rsid w:val="00B26308"/>
    <w:rsid w:val="00B43755"/>
    <w:rsid w:val="00B527B2"/>
    <w:rsid w:val="00B56C4D"/>
    <w:rsid w:val="00B63733"/>
    <w:rsid w:val="00B8374A"/>
    <w:rsid w:val="00B92BFB"/>
    <w:rsid w:val="00BE037B"/>
    <w:rsid w:val="00C40A89"/>
    <w:rsid w:val="00C549E8"/>
    <w:rsid w:val="00C71B45"/>
    <w:rsid w:val="00C84E39"/>
    <w:rsid w:val="00C85283"/>
    <w:rsid w:val="00CC61AB"/>
    <w:rsid w:val="00CD4809"/>
    <w:rsid w:val="00CE2A46"/>
    <w:rsid w:val="00D7221C"/>
    <w:rsid w:val="00D8702B"/>
    <w:rsid w:val="00DA1411"/>
    <w:rsid w:val="00DA52F2"/>
    <w:rsid w:val="00DA6D9C"/>
    <w:rsid w:val="00DB17C6"/>
    <w:rsid w:val="00DB1F8A"/>
    <w:rsid w:val="00DB79A8"/>
    <w:rsid w:val="00DD382D"/>
    <w:rsid w:val="00DF6B31"/>
    <w:rsid w:val="00DF7776"/>
    <w:rsid w:val="00E07215"/>
    <w:rsid w:val="00E16213"/>
    <w:rsid w:val="00E1693D"/>
    <w:rsid w:val="00E36045"/>
    <w:rsid w:val="00E46215"/>
    <w:rsid w:val="00E861FF"/>
    <w:rsid w:val="00E91310"/>
    <w:rsid w:val="00E93031"/>
    <w:rsid w:val="00E95B99"/>
    <w:rsid w:val="00EB54F6"/>
    <w:rsid w:val="00EE7ADA"/>
    <w:rsid w:val="00F36DFA"/>
    <w:rsid w:val="00F41E8A"/>
    <w:rsid w:val="00FA73CF"/>
    <w:rsid w:val="00FD5BF3"/>
    <w:rsid w:val="00FE52A4"/>
    <w:rsid w:val="274340D5"/>
    <w:rsid w:val="43145BD7"/>
    <w:rsid w:val="6EE7A7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20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98"/>
    <w:rPr>
      <w:rFonts w:ascii="Myriad Pro" w:hAnsi="Myriad Pro"/>
    </w:rPr>
  </w:style>
  <w:style w:type="paragraph" w:styleId="Heading1">
    <w:name w:val="heading 1"/>
    <w:basedOn w:val="Normal"/>
    <w:next w:val="Normal"/>
    <w:link w:val="Heading1Char"/>
    <w:uiPriority w:val="9"/>
    <w:qFormat/>
    <w:rsid w:val="009852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52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Subtitle">
    <w:name w:val="RB_Subtitle"/>
    <w:basedOn w:val="Heading2"/>
    <w:qFormat/>
    <w:rsid w:val="0098520A"/>
    <w:pPr>
      <w:pBdr>
        <w:top w:val="nil"/>
        <w:left w:val="nil"/>
        <w:bottom w:val="nil"/>
        <w:right w:val="nil"/>
        <w:between w:val="nil"/>
        <w:bar w:val="nil"/>
      </w:pBdr>
      <w:suppressAutoHyphens/>
      <w:spacing w:before="0" w:after="300" w:line="240" w:lineRule="auto"/>
    </w:pPr>
    <w:rPr>
      <w:rFonts w:ascii="Myriad Pro" w:eastAsia="Myriad Pro" w:hAnsi="Myriad Pro" w:cs="Myriad Pro"/>
      <w:b/>
      <w:bCs/>
      <w:color w:val="003787"/>
      <w:sz w:val="30"/>
      <w:szCs w:val="30"/>
      <w:bdr w:val="nil"/>
      <w:lang w:val="en-US"/>
    </w:rPr>
  </w:style>
  <w:style w:type="character" w:customStyle="1" w:styleId="Heading2Char">
    <w:name w:val="Heading 2 Char"/>
    <w:basedOn w:val="DefaultParagraphFont"/>
    <w:link w:val="Heading2"/>
    <w:uiPriority w:val="9"/>
    <w:semiHidden/>
    <w:rsid w:val="0098520A"/>
    <w:rPr>
      <w:rFonts w:asciiTheme="majorHAnsi" w:eastAsiaTheme="majorEastAsia" w:hAnsiTheme="majorHAnsi" w:cstheme="majorBidi"/>
      <w:color w:val="2F5496" w:themeColor="accent1" w:themeShade="BF"/>
      <w:sz w:val="26"/>
      <w:szCs w:val="26"/>
    </w:rPr>
  </w:style>
  <w:style w:type="paragraph" w:customStyle="1" w:styleId="RBTitle">
    <w:name w:val="RB_Title"/>
    <w:basedOn w:val="Heading1"/>
    <w:qFormat/>
    <w:rsid w:val="0098520A"/>
    <w:pPr>
      <w:pBdr>
        <w:top w:val="nil"/>
        <w:left w:val="nil"/>
        <w:bottom w:val="nil"/>
        <w:right w:val="nil"/>
        <w:between w:val="nil"/>
        <w:bar w:val="nil"/>
      </w:pBdr>
      <w:suppressAutoHyphens/>
      <w:spacing w:before="600" w:after="300" w:line="240" w:lineRule="auto"/>
    </w:pPr>
    <w:rPr>
      <w:rFonts w:ascii="Myriad Pro" w:eastAsia="Myriad Pro" w:hAnsi="Myriad Pro" w:cs="Myriad Pro"/>
      <w:b/>
      <w:iCs/>
      <w:color w:val="5D5D5D"/>
      <w:kern w:val="24"/>
      <w:sz w:val="60"/>
      <w:szCs w:val="60"/>
      <w:u w:color="000000"/>
      <w:bdr w:val="nil"/>
      <w:lang w:val="en-US"/>
    </w:rPr>
  </w:style>
  <w:style w:type="character" w:customStyle="1" w:styleId="Heading1Char">
    <w:name w:val="Heading 1 Char"/>
    <w:basedOn w:val="DefaultParagraphFont"/>
    <w:link w:val="Heading1"/>
    <w:uiPriority w:val="9"/>
    <w:rsid w:val="0098520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83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D6"/>
  </w:style>
  <w:style w:type="paragraph" w:styleId="Footer">
    <w:name w:val="footer"/>
    <w:basedOn w:val="Normal"/>
    <w:link w:val="FooterChar"/>
    <w:uiPriority w:val="99"/>
    <w:unhideWhenUsed/>
    <w:rsid w:val="00283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D6"/>
  </w:style>
  <w:style w:type="character" w:styleId="Hyperlink">
    <w:name w:val="Hyperlink"/>
    <w:uiPriority w:val="99"/>
    <w:rsid w:val="002833D6"/>
    <w:rPr>
      <w:u w:val="single"/>
    </w:rPr>
  </w:style>
  <w:style w:type="paragraph" w:customStyle="1" w:styleId="Header1">
    <w:name w:val="Header1"/>
    <w:rsid w:val="002833D6"/>
    <w:pPr>
      <w:pBdr>
        <w:top w:val="nil"/>
        <w:left w:val="nil"/>
        <w:bottom w:val="nil"/>
        <w:right w:val="nil"/>
        <w:between w:val="nil"/>
        <w:bar w:val="nil"/>
      </w:pBdr>
      <w:suppressAutoHyphens/>
      <w:spacing w:after="0" w:line="276" w:lineRule="auto"/>
      <w:ind w:left="5670"/>
    </w:pPr>
    <w:rPr>
      <w:rFonts w:ascii="Myriad Pro" w:eastAsia="Myriad Pro" w:hAnsi="Myriad Pro" w:cs="Myriad Pro"/>
      <w:i/>
      <w:iCs/>
      <w:noProof/>
      <w:color w:val="003787"/>
      <w:sz w:val="16"/>
      <w:szCs w:val="16"/>
      <w:u w:color="000000"/>
      <w:bdr w:val="nil"/>
      <w:lang w:val="en-US"/>
    </w:rPr>
  </w:style>
  <w:style w:type="paragraph" w:customStyle="1" w:styleId="RBBodyletter">
    <w:name w:val="RB_Body_letter"/>
    <w:basedOn w:val="Normal"/>
    <w:link w:val="RBBodyletterChar"/>
    <w:qFormat/>
    <w:rsid w:val="00FD5BF3"/>
    <w:pPr>
      <w:spacing w:after="240" w:line="276" w:lineRule="auto"/>
    </w:pPr>
    <w:rPr>
      <w:color w:val="5D5D5D"/>
      <w:lang w:val="en-US"/>
    </w:rPr>
  </w:style>
  <w:style w:type="paragraph" w:customStyle="1" w:styleId="RBbody">
    <w:name w:val="RB_body"/>
    <w:qFormat/>
    <w:rsid w:val="002833D6"/>
    <w:pPr>
      <w:spacing w:after="0" w:line="276" w:lineRule="auto"/>
    </w:pPr>
    <w:rPr>
      <w:rFonts w:ascii="Myriad Pro" w:eastAsia="Times New Roman" w:hAnsi="Myriad Pro" w:cs="Times New Roman"/>
      <w:color w:val="5D5D5D"/>
      <w:sz w:val="20"/>
      <w:szCs w:val="20"/>
      <w:shd w:val="clear" w:color="auto" w:fill="FFFFFF"/>
      <w:lang w:val="en-US"/>
    </w:rPr>
  </w:style>
  <w:style w:type="character" w:customStyle="1" w:styleId="RBBodyletterChar">
    <w:name w:val="RB_Body_letter Char"/>
    <w:basedOn w:val="DefaultParagraphFont"/>
    <w:link w:val="RBBodyletter"/>
    <w:rsid w:val="00FD5BF3"/>
    <w:rPr>
      <w:rFonts w:ascii="Myriad Pro" w:hAnsi="Myriad Pro"/>
      <w:color w:val="5D5D5D"/>
      <w:lang w:val="en-US"/>
    </w:rPr>
  </w:style>
  <w:style w:type="paragraph" w:customStyle="1" w:styleId="RBbody2">
    <w:name w:val="RB_body 2"/>
    <w:basedOn w:val="RBbody"/>
    <w:rsid w:val="002833D6"/>
    <w:pPr>
      <w:spacing w:before="200"/>
      <w:ind w:firstLine="567"/>
      <w:jc w:val="both"/>
    </w:pPr>
  </w:style>
  <w:style w:type="character" w:styleId="UnresolvedMention">
    <w:name w:val="Unresolved Mention"/>
    <w:basedOn w:val="DefaultParagraphFont"/>
    <w:uiPriority w:val="99"/>
    <w:semiHidden/>
    <w:unhideWhenUsed/>
    <w:rsid w:val="00B56C4D"/>
    <w:rPr>
      <w:color w:val="808080"/>
      <w:shd w:val="clear" w:color="auto" w:fill="E6E6E6"/>
    </w:rPr>
  </w:style>
  <w:style w:type="character" w:customStyle="1" w:styleId="normaltextrun">
    <w:name w:val="normaltextrun"/>
    <w:basedOn w:val="DefaultParagraphFont"/>
    <w:rsid w:val="00835D2E"/>
  </w:style>
  <w:style w:type="character" w:customStyle="1" w:styleId="eop">
    <w:name w:val="eop"/>
    <w:basedOn w:val="DefaultParagraphFont"/>
    <w:rsid w:val="00835D2E"/>
  </w:style>
  <w:style w:type="paragraph" w:customStyle="1" w:styleId="RBdokumentanosaukums">
    <w:name w:val="RB_dokumenta_nosaukums"/>
    <w:basedOn w:val="Header1"/>
    <w:qFormat/>
    <w:rsid w:val="00DB17C6"/>
    <w:pPr>
      <w:jc w:val="right"/>
    </w:pPr>
    <w:rPr>
      <w:i w:val="0"/>
    </w:rPr>
  </w:style>
  <w:style w:type="paragraph" w:customStyle="1" w:styleId="RBminitext">
    <w:name w:val="RB_minitext"/>
    <w:qFormat/>
    <w:rsid w:val="00DB17C6"/>
    <w:pPr>
      <w:pBdr>
        <w:top w:val="nil"/>
        <w:left w:val="nil"/>
        <w:bottom w:val="nil"/>
        <w:right w:val="nil"/>
        <w:between w:val="nil"/>
        <w:bar w:val="nil"/>
      </w:pBdr>
      <w:suppressAutoHyphens/>
      <w:spacing w:after="0" w:line="240" w:lineRule="auto"/>
      <w:jc w:val="center"/>
    </w:pPr>
    <w:rPr>
      <w:rFonts w:ascii="Myriad Pro" w:eastAsia="Myriad Pro" w:hAnsi="Myriad Pro" w:cs="Myriad Pro"/>
      <w:i/>
      <w:iCs/>
      <w:noProof/>
      <w:color w:val="003787"/>
      <w:sz w:val="16"/>
      <w:szCs w:val="16"/>
      <w:bdr w:val="nil"/>
      <w:shd w:val="clear" w:color="auto" w:fill="FFFFFF"/>
      <w:lang w:val="en-US"/>
    </w:rPr>
  </w:style>
  <w:style w:type="table" w:styleId="PlainTable4">
    <w:name w:val="Plain Table 4"/>
    <w:basedOn w:val="TableNormal"/>
    <w:uiPriority w:val="44"/>
    <w:rsid w:val="00DB17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F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70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railbaltica.org" TargetMode="External"/><Relationship Id="rId2" Type="http://schemas.openxmlformats.org/officeDocument/2006/relationships/hyperlink" Target="mailto:info@railbaltica.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b15464-17cd-4058-a13c-b54e2420c3d4">
      <UserInfo>
        <DisplayName>Margo Jõgi</DisplayName>
        <AccountId>676</AccountId>
        <AccountType/>
      </UserInfo>
    </SharedWithUsers>
    <TaxCatchAll xmlns="c1b15464-17cd-4058-a13c-b54e2420c3d4" xsi:nil="true"/>
    <lcf76f155ced4ddcb4097134ff3c332f xmlns="caacf6f3-f708-4c8d-af51-fdab418943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13BE71AB5D84D85907E89B00562EB" ma:contentTypeVersion="17" ma:contentTypeDescription="Create a new document." ma:contentTypeScope="" ma:versionID="7711aea09184e21e222640b7f6bb8b57">
  <xsd:schema xmlns:xsd="http://www.w3.org/2001/XMLSchema" xmlns:xs="http://www.w3.org/2001/XMLSchema" xmlns:p="http://schemas.microsoft.com/office/2006/metadata/properties" xmlns:ns2="caacf6f3-f708-4c8d-af51-fdab418943e6" xmlns:ns3="c1b15464-17cd-4058-a13c-b54e2420c3d4" targetNamespace="http://schemas.microsoft.com/office/2006/metadata/properties" ma:root="true" ma:fieldsID="e88b4d4650295bb6619fae27c73eea16" ns2:_="" ns3:_="">
    <xsd:import namespace="caacf6f3-f708-4c8d-af51-fdab418943e6"/>
    <xsd:import namespace="c1b15464-17cd-4058-a13c-b54e2420c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cf6f3-f708-4c8d-af51-fdab418943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15464-17cd-4058-a13c-b54e2420c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a6a1e7-3b82-47a3-8ae9-299d66732ab8}" ma:internalName="TaxCatchAll" ma:showField="CatchAllData" ma:web="c1b15464-17cd-4058-a13c-b54e2420c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DC96B-7E2E-4FBD-9646-6088B61BC876}">
  <ds:schemaRefs>
    <ds:schemaRef ds:uri="http://schemas.microsoft.com/office/2006/metadata/properties"/>
    <ds:schemaRef ds:uri="http://schemas.microsoft.com/office/infopath/2007/PartnerControls"/>
    <ds:schemaRef ds:uri="c1b15464-17cd-4058-a13c-b54e2420c3d4"/>
    <ds:schemaRef ds:uri="caacf6f3-f708-4c8d-af51-fdab418943e6"/>
  </ds:schemaRefs>
</ds:datastoreItem>
</file>

<file path=customXml/itemProps2.xml><?xml version="1.0" encoding="utf-8"?>
<ds:datastoreItem xmlns:ds="http://schemas.openxmlformats.org/officeDocument/2006/customXml" ds:itemID="{1F1B9E7B-A031-4BE1-AA7C-9C5A41EDB87B}">
  <ds:schemaRefs>
    <ds:schemaRef ds:uri="http://schemas.microsoft.com/sharepoint/v3/contenttype/forms"/>
  </ds:schemaRefs>
</ds:datastoreItem>
</file>

<file path=customXml/itemProps3.xml><?xml version="1.0" encoding="utf-8"?>
<ds:datastoreItem xmlns:ds="http://schemas.openxmlformats.org/officeDocument/2006/customXml" ds:itemID="{6C61642C-C3D8-438A-84B1-E4F3A0387277}">
  <ds:schemaRefs>
    <ds:schemaRef ds:uri="http://schemas.openxmlformats.org/officeDocument/2006/bibliography"/>
  </ds:schemaRefs>
</ds:datastoreItem>
</file>

<file path=customXml/itemProps4.xml><?xml version="1.0" encoding="utf-8"?>
<ds:datastoreItem xmlns:ds="http://schemas.openxmlformats.org/officeDocument/2006/customXml" ds:itemID="{7AEDD1D2-116A-41BF-BC45-B5DECB75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cf6f3-f708-4c8d-af51-fdab418943e6"/>
    <ds:schemaRef ds:uri="c1b15464-17cd-4058-a13c-b54e2420c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1085</Words>
  <Characters>6189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Links>
    <vt:vector size="12" baseType="variant">
      <vt:variant>
        <vt:i4>4063351</vt:i4>
      </vt:variant>
      <vt:variant>
        <vt:i4>9</vt:i4>
      </vt:variant>
      <vt:variant>
        <vt:i4>0</vt:i4>
      </vt:variant>
      <vt:variant>
        <vt:i4>5</vt:i4>
      </vt:variant>
      <vt:variant>
        <vt:lpwstr>http://www.railbaltica.org/</vt:lpwstr>
      </vt:variant>
      <vt:variant>
        <vt:lpwstr/>
      </vt:variant>
      <vt:variant>
        <vt:i4>655417</vt:i4>
      </vt:variant>
      <vt:variant>
        <vt:i4>6</vt:i4>
      </vt:variant>
      <vt:variant>
        <vt:i4>0</vt:i4>
      </vt:variant>
      <vt:variant>
        <vt:i4>5</vt:i4>
      </vt:variant>
      <vt:variant>
        <vt:lpwstr>mailto:info@railbaltica.org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2023-01-21T00:12:00Z</dcterms:created>
  <dcterms:modified xsi:type="dcterms:W3CDTF">2023-01-21T00:26:00Z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0x010100F7613BE71AB5D84D85907E89B00562EB</vt:lpwstr>
  </property>
  <property fmtid="{D5CDD505-2E9C-101B-9397-08002B2CF9AE}" pid="3" name="MediaServiceImageTags">
    <vt:lpwstr/>
  </property>
</Properties>
</file>